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RR.2016.191 vom 19. Januar 2017</w:t>
      </w:r>
    </w:p>
    <w:p>
      <w:r>
        <w:t>Bundesstrafgericht, 2017-01-19, FR</w:t>
      </w:r>
    </w:p>
    <w:p>
      <w:r>
        <w:rPr>
          <w:b/>
        </w:rPr>
        <w:t xml:space="preserve">Quelle: </w:t>
      </w:r>
      <w:r>
        <w:t>https://mcp.opencaselaw.ch/entscheid/bstger_RR.2016.191</w:t>
      </w:r>
    </w:p>
    <w:p>
      <w:r>
        <w:t>FR: TPF RR.2016.191 du 19 janvier 2017</w:t>
      </w:r>
    </w:p>
    <w:p>
      <w:r>
        <w:t>IT: TPF RR.2016.191 del 19 gennaio 2017</w:t>
      </w:r>
    </w:p>
    <w:p>
      <w:pPr>
        <w:pStyle w:val="Heading2"/>
      </w:pPr>
      <w:r>
        <w:t>Regeste</w:t>
      </w:r>
    </w:p>
    <w:p>
      <w:r>
        <w:t>Entraide judiciaire internationale en matière pénale à l'Equateur. Remise de moyens de preuve (art. 74 EIMP).</w:t>
      </w:r>
    </w:p>
    <w:p>
      <w:pPr>
        <w:pStyle w:val="Heading2"/>
      </w:pPr>
      <w:r>
        <w:t>Erwägungen</w:t>
      </w:r>
    </w:p>
    <w:p>
      <w:r>
        <w:rPr>
          <w:b/>
        </w:rPr>
        <w:t>E. 1.1</w:t>
      </w:r>
    </w:p>
    <w:p>
      <w:r>
        <w:t>L'entraide judiciaire internationale en matière pénale entre la République de l’Equateur et la Confédération suisse est régie par le traité d’entraide judiciaire en matière pénale, conclu le 4 juillet 1997, entrée en vigueur le 19 janvier 1999 (RS.0351.932.7). Les dispositions de ce traité l'emportent sur le droit autonome qui régit la matière, soit la loi fédérale du 20 mars 1981 sur l'entraide internationale en matière pénale (EIMP; RS 351.1) et son ordonnance d'exécution (OEIMP; RS 351.11). Le droit interne reste toutefois applicable aux questions non réglées, explicitement ou implicitement, par la convention et lorsqu'il est plus favorable à l'entraide (ATF 142 IV 250 consid. 3; 140 IV 123 consid. 2 ; 137 IV 33 consid. 2.2.2; 129 II 462 consid. 1.1; 124 II 180 consid. 1a;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l'art. 25 al. 1 EIMP, la Cour des plaintes du Tribunal pénal fédéral est compétente pour connaître des recours dirigés contre les décisions de clôture de la procédure d'entraide pénale rendues par l'autorité cantonale d'exécution.</w:t>
      </w:r>
    </w:p>
    <w:p>
      <w:r>
        <w:rPr>
          <w:b/>
        </w:rPr>
        <w:t>E. 1.3</w:t>
      </w:r>
    </w:p>
    <w:p>
      <w:r>
        <w:t>Formé le 9 septembre 2016 contre des décisions notifiées au plus tôt le 9 août précédent, le recours l'a été dans le délai de 30 jours institué par l'art. 80k EIMP.</w:t>
      </w:r>
    </w:p>
    <w:p>
      <w:r>
        <w:rPr>
          <w:b/>
        </w:rPr>
        <w:t>E. 1.4.1</w:t>
      </w:r>
    </w:p>
    <w:p>
      <w:r>
        <w:t>Aux termes de l’art. 80h let. b EIMP, a qualité pour recourir en matière d’entraide quiconque est personnellement et directement touché par une mesure d’entraide et a un intérêt digne de protection à ce que celle-ci soit annulée ou modifiée.</w:t>
      </w:r>
    </w:p>
    <w:p>
      <w:r>
        <w:rPr>
          <w:b/>
        </w:rPr>
        <w:t>E. 1.4.2</w:t>
      </w:r>
    </w:p>
    <w:p>
      <w:r>
        <w:t>Lorsque, comme en l’espèce, les informations dont la remise est envisagée proviennent d’une procédure interne et sont, dès lors, déjà en mains de l’autorité d’exécution (cf. supra let. A.), il y a en principe lieu d’admettre que l’administré n’est touché que de manière indirecte, de sorte qu’il n’est pas légitimé à recourir (cf. notamment arrêt du Tribunal pénal fédéral RR.2014.106-109 du 3 novembre 2014, consid. 1.5, et les références citées).</w:t>
      </w:r>
    </w:p>
    <w:p>
      <w:r>
        <w:rPr>
          <w:b/>
        </w:rPr>
        <w:t>E. 1.4.3</w:t>
      </w:r>
    </w:p>
    <w:p>
      <w:r>
        <w:t>Ce principe a été tempéré par la jurisprudence, notamment lorsque l’autorité</w:t>
      </w:r>
    </w:p>
    <w:p>
      <w:r>
        <w:t>- 4 -</w:t>
      </w:r>
    </w:p>
    <w:p>
      <w:r>
        <w:t>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 Cette hypothèse est manifestement réalisée en l’espèce (cf. supra let. A. et D.), de sorte que la qualité de A. pour recourir doit être admise.</w:t>
      </w:r>
    </w:p>
    <w:p>
      <w:r>
        <w:rPr>
          <w:b/>
        </w:rPr>
        <w:t>E. 1.5</w:t>
      </w:r>
    </w:p>
    <w:p>
      <w:r>
        <w:t>Compte tenu de ce qui précède, il y a lieu d’entrer en matière sur le recours.</w:t>
      </w:r>
    </w:p>
    <w:p>
      <w:r>
        <w:rPr>
          <w:b/>
        </w:rPr>
        <w:t>E. 2</w:t>
      </w:r>
    </w:p>
    <w:p>
      <w:r>
        <w:t>Le recourant dénonce une violation du principe de la double incrimination, ainsi que des art. 2 let. b du traité (disposition prévoyant la non-applicabilité de ce dernier à l’exécution de jugements pénaux), 5 et 6 CEDH (droit à la liberté et à la sûreté, respectivement, droit à un procès équitable), et 80b EIMP (participation à la procédure et consultation du dossier). Il soutient en substance que les seules procédures pénales menées contre lui dans l’Etat requérant, aujourd’hui closes, sont de nature fiscale et ont de surcroît été menées pour des motifs politiques; par ailleurs, le MPC ne lui aurait pas donné accès à l’ensemble du dossier de la procédure pénale suisse.</w:t>
      </w:r>
    </w:p>
    <w:p>
      <w:r>
        <w:rPr>
          <w:b/>
        </w:rPr>
        <w:t>E. 3</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(cf. ATF 125 II 569 consid. 6; arrêt du Tribunal fédéral 1C_138/2007 du 17 juillet 2007, consid. 2.3.2). Pour déterminer si la condition de la double incrimination est réalisée, le juge de l'entraide se fonde sur l'exposé des faits contenu dans la requête.</w:t>
      </w:r>
    </w:p>
    <w:p>
      <w:r>
        <w:t>- 5 -</w:t>
      </w:r>
    </w:p>
    <w:p>
      <w:r>
        <w:rPr>
          <w:b/>
        </w:rPr>
        <w:t>E. 4</w:t>
      </w:r>
    </w:p>
    <w:p>
      <w:r>
        <w:t>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 En outre, l’Etat requérant n’a pas à apporter, à l’appui de la demande, la preuve des faits qu’il poursuit (ZIMMERMANN, La coopération judiciaire internationale en matière pénale, 4e éd. 2014, n° 299).</w:t>
      </w:r>
    </w:p>
    <w:p>
      <w:r>
        <w:rPr>
          <w:b/>
        </w:rPr>
        <w:t>E. 5</w:t>
      </w:r>
    </w:p>
    <w:p>
      <w:r>
        <w:t>Dans la demande d’entraide du 21 juillet 2015, les autorités équatoriennes ont indiqué qu’elles avaient ouvert une procédure pénale contre le recourant pour des faits de blanchiment, par le biais notamment de contrats de réassurance, d’argent issu de trafic de drogue mené par des organisations criminelles (dossier du MPC, act. 239 671, p. 5). Que l’intéressé y ait été par ailleurs condamné pour des infractions de nature fiscale n’est pas, quoi qu’il en pense, propre en soi à démontrer que ladite demande serait entachée d'erreurs, lacunes ou contradictions évidentes et immédiatement établies. Il en va de même de l’affirmation, toute générale et non étayée par des références précises à des pièces figurant au dossier, selon laquelle la commission par le recourant d’infractions liées au commerce de produits stupéfiants aurait été exclue au cours des autres procédures pénales ouvertes à son encontre (cf. act. 16, p. 3 in fine). Aussi, dès lors que les fonds déposés sur la relation bancaire dont la transmission a été ordonnée seraient le fruit de l’activité d’une organisation criminelle, les éléments constitutifs du blanchiment d’argent, au sens de l’art. 305bis CP, sont-ils a priori remplis. Dans ces conditions, la punissabilité en droit suisse doit être admise en l’espèce, de sorte que le grief d’absence de double incrimination est mal fondé, tout comme l’affirmation du recourant selon laquelle il aurait été l’objet en Equateur uniquement de procédures pénales de nature fiscale, aujourd’hui closes. Quant aux violations alléguées des art. 5 et 6 CEDH, elles n’ont pas à être examinées, faute pour le recourant de fournir la moindre précision à ce sujet. Finalement, l’art. 80b EIMP concerne uniquement l’accès au dossier d’entraide, de sorte que le recourant ne saurait se prévaloir, comme il le fait, de cette disposition légale pour requérir la consultation des pièces relatives à la procédure pénale suisse.</w:t>
      </w:r>
    </w:p>
    <w:p>
      <w:r>
        <w:rPr>
          <w:b/>
        </w:rPr>
        <w:t>E. 6</w:t>
      </w:r>
    </w:p>
    <w:p>
      <w:r>
        <w:t>Il s’ensuit que le recours est mal fondé.</w:t>
      </w:r>
    </w:p>
    <w:p>
      <w:r>
        <w:t>- 6 -</w:t>
      </w:r>
    </w:p>
    <w:p>
      <w:r>
        <w:rPr>
          <w:b/>
        </w:rPr>
        <w:t>E. 7</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du 31 août 2010 [RFPPF; RS 173.713.162] et art. 63 al. 5 PA), couverts par l’avance de frais effectuée.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