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RR.2016.188 vom 15. September 2016</w:t>
      </w:r>
    </w:p>
    <w:p>
      <w:r>
        <w:t>Bundesstrafgericht, 2016-09-15, DE</w:t>
      </w:r>
    </w:p>
    <w:p>
      <w:r>
        <w:rPr>
          <w:b/>
        </w:rPr>
        <w:t xml:space="preserve">Quelle: </w:t>
      </w:r>
      <w:r>
        <w:t>https://mcp.opencaselaw.ch/entscheid/bstger_RR.2016.188</w:t>
      </w:r>
    </w:p>
    <w:p>
      <w:r>
        <w:t>FR: TPF RR.2016.188 du 15 septembre 2016</w:t>
      </w:r>
    </w:p>
    <w:p>
      <w:r>
        <w:t>IT: TPF RR.2016.188 del 15 settembre 2016</w:t>
      </w:r>
    </w:p>
    <w:p>
      <w:pPr>
        <w:pStyle w:val="Heading2"/>
      </w:pPr>
      <w:r>
        <w:t>Regeste</w:t>
      </w:r>
    </w:p>
    <w:p>
      <w:r>
        <w:t>Internationale Rechtshilfe in Strafsachen an Luxemburg. Anwesenheit ausländischer Verfahrensbeteiligter (Art. 80e Abs. 2 lit. b IRSG).</w:t>
      </w:r>
    </w:p>
    <w:p>
      <w:pPr>
        <w:pStyle w:val="Heading2"/>
      </w:pPr>
      <w:r>
        <w:t>Erwägungen</w:t>
      </w:r>
    </w:p>
    <w:p>
      <w:r>
        <w:rPr>
          <w:b/>
        </w:rPr>
        <w:t>E. 1.1</w:t>
      </w:r>
    </w:p>
    <w:p>
      <w:r>
        <w:t>Für die Rechtshilfe zwischen der Schweiz und Luxemburg ist primär das Eu- ropäische Übereinkommen vom 20. April 1959 über die Rechtshilfe in Straf- sachen (EUeR; SR 0.351.1) massgebend. Ausserdem gelangen die Bestim- mungen der Art. 48 ff. des Übereinkommens vom 19. Juni 1990 zur Durch-</w:t>
      </w:r>
    </w:p>
    <w:p>
      <w:r>
        <w:t>- 3 -</w:t>
      </w:r>
    </w:p>
    <w:p>
      <w:r>
        <w:t>führung des Übereinkommens von Schengen vom 14. Juni 1985 (Schenge- ner Durchführungsübereinkommen, SDÜ; Abl. L 239 vom 22. Septem- ber 2000, S. 19 – 62) zur Anwendung (TPF 2009 111 E. 1.2 S. 113).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140 IV 123 E. 2 S. 126; 137 IV 33 E. 2.2.2 S. 40 f.; 136 IV 82 E. 3.1 m.w.H.). Vorbehalten bleibt die Wahrung der Menschenrechte (BGE 135 IV 212 E. 2.3; 123 II 595 E. 7c S. 617; TPF 2008 24 E. 1.1 S. 26). Auf Beschwerdeverfahren in internatio- nalen Rechtshilfeangelegenheiten sind zudem die Bestimmungen des Bun- desgesetzes vom 20. Dezember 1968 über das Verwaltungsverfahren (Ver- waltungsverfahrensgesetz, VwVG; SR 172.021) anwendbar (Art. 39 Abs. 2 lit. b i.V.m. Art. 37 Abs. 2 lit. a Ziff. 1 StBOG), wenn das IRSG nichts anderes bestimmt (siehe Art. 12 Abs. 1 IRSG).</w:t>
      </w:r>
    </w:p>
    <w:p>
      <w:r>
        <w:rPr>
          <w:b/>
        </w:rPr>
        <w:t>E. 2.1</w:t>
      </w:r>
    </w:p>
    <w:p>
      <w:r>
        <w:t>Die Verfügung der ausführenden Behörde, mit der das Rechtshilfeverfahren abgeschlossen wird, unterliegt zusammen mit den vorangehenden Zwi- schenverfügungen der Beschwerde an die Beschwerdekammer des Bun- desstrafgerichts (Art. 80e Abs. 1 IRSG). Der Schlussverfügung vorange- hende Zwischenverfügungen können gemäss Art. 80e Abs. 2 IRSG selbst- ständig angefochten werden, sofern sie einen unmittelbaren und nicht wieder gutzumachenden Nachteil bewirken durch die Beschlagnahme von Vermö- genswerten und Wertgegenständen (lit. a) oder durch die Anwesenheit von Personen, die am ausländischen Prozess beteiligt sind (lit. b).</w:t>
      </w:r>
    </w:p>
    <w:p>
      <w:r>
        <w:rPr>
          <w:b/>
        </w:rPr>
        <w:t>E. 2.2</w:t>
      </w:r>
    </w:p>
    <w:p>
      <w:r>
        <w:t>Der Beizug ausländischer Ermittlungsbeamter ist in Art. 4 Satz 2 EUeR und in Art. 65a IRSG ausdrücklich vorgesehen. Dieser kann nicht zuletzt der Ver- hältnismässigkeit bzw. der sachbezogenen Begrenzung der beantragten Rechtshilfemassnahmen dienen (Urteil des Bundesgerichts 1A.259/2005 vom 15. November 2005, E. 1.2). Gemäss konstanter Rechtsprechung des Bundesgerichts hat die blosse Anwesenheit ausländischer Prozessbeteilig- ter an einer Rechtshilfehandlung für den Betroffenen in der Regel noch kei- nen unmittelbaren und nicht wieder gutzumachenden Nachteil im Sinne von Art. 80e Abs. 2 IRSG zur Folge. Ein solcher Nachteil ist zu bejahen, wenn die Gefahr besteht, dass den ausländischen Behörden durch die Teilnahme</w:t>
      </w:r>
    </w:p>
    <w:p>
      <w:r>
        <w:t>- 4 -</w:t>
      </w:r>
    </w:p>
    <w:p>
      <w:r>
        <w:t>ihrer Beamten an den Vollzugshandlungen Tatsachen aus dem Geheimbe- reich zugänglich gemacht werden, bevor über die Gewährung oder den Um- fang der Rechtshilfe entschieden worden ist (Art. 65a Abs. 3 IRSG; BGE 128 II 211 E. 2.1 S. 215 f.; 127 II 198 E. 2b S. 204). Diese Gefahr ist zu verneinen, wenn die schweizerischen Behörden die nach den Umständen geeigneten Vorkehren treffen, um eine vorzeitige Verwendung von Informationen im ausländischen Strafverfahren zu verhindern (BGE 128 II 211 E. 2.1 S. 216; Urteile des Bundesgerichts 1A.225/2006 vom 6. März 2007, E. 1.5.1; 1A.291/2005 vom 14. November 2005, E. 2.1; TPF 2014 60 E. 3.3 S. 64; vgl. zuletzt auch den Entscheid des Bundesstrafgerichts RR.2015.310 vom 27. Januar 2016, E. 2.3). Die Vollzugsbehörde trifft u. a. dann geeignete Vor- kehren, wenn sie die ausländischen Beamten verpflichtet, allfällige Erkennt- nisse bis zum Vorliegen einer rechtskräftigen Schlussverfügung im auslän- dischen Verfahren nicht zu verwenden (TPF 2014 60 E. 3.3 S. 64; TPF 2010 96 E. 2.3 S. 98 f.; TPF 2008 116 E. 5.1 S. 118). Bei Beachtung dieser Grundsätze ist ein unmittelbarer und nicht wieder gutzumachender Nachteil im Sinne von Art. 80e Abs. 2 IRSG in der Regel zu verneinen (Urteile des Bundesgerichts 1A.225/2006 vom 6. März 2007, E. 1.5.1; 1A.291/2005 vom 14. November 2005, E. 2.2.1).</w:t>
      </w:r>
    </w:p>
    <w:p>
      <w:r>
        <w:rPr>
          <w:b/>
        </w:rPr>
        <w:t>E. 2.3</w:t>
      </w:r>
    </w:p>
    <w:p>
      <w:r>
        <w:t>In der angefochtenen Zwischenverfügung wurde die Zulassung von Vertre- tern der ersuchenden Behörde zwecks Akteneinsicht mit der Auflage erteilt, dass sich diese vorgängig unterschriftlich verpflichten müssen, die Informa- tionen, zu denen sie in der Schweiz bei der Ausführung ihres Ersuchens Zu- gang erlangen, in keiner Weise, weder zu Ermittlungs- noch zu Beweiszwe- cken zu verwenden, bis ihnen diese Informationen kraft eines vollstreckba- ren schweizerischen Entscheids übermittelt worden sind (act. 1.1, S. 2 und 4). Diese Garantieerklärung genügt den vorstehenden, durch die Recht- sprechung entwickelten Anforderungen. Andere konkrete Elemente, welche auf Seiten der Beschwerdeführerin einen nicht wieder gutzumachenden Nachteil bewirken könnten, werden von dieser nicht geltend gemacht und sind auch nicht ersichtlich.</w:t>
      </w:r>
    </w:p>
    <w:p>
      <w:r>
        <w:rPr>
          <w:b/>
        </w:rPr>
        <w:t>E. 2.4</w:t>
      </w:r>
    </w:p>
    <w:p>
      <w:r>
        <w:t>Nach dem Gesagten droht der Beschwerdeführerin offensichtlich kein unmit- telbarer und nicht wieder gutzumachender Nachteil im Sinne von Art. 80e Abs. 2 lit. b IRSG, weshalb auf ihre Beschwerde – ohne Durchführung eines Schriftenwechsels (Art. 57 Abs. 1 VwVG e contrario) – nicht einzutreten ist.</w:t>
      </w:r>
    </w:p>
    <w:p>
      <w:r>
        <w:rPr>
          <w:b/>
        </w:rPr>
        <w:t>E. 3</w:t>
      </w:r>
    </w:p>
    <w:p>
      <w:r>
        <w:t>Bei diesem Ausgang des Verfahrens ist das mit Beschwerde gestellte Ge- such um Gewährung der aufschiebenden Wirkung als gegenstandslos ab- zuschreiben.</w:t>
      </w:r>
    </w:p>
    <w:p>
      <w:r>
        <w:t>- 5 -</w:t>
      </w:r>
    </w:p>
    <w:p>
      <w:r>
        <w:rPr>
          <w:b/>
        </w:rPr>
        <w:t>E. 4</w:t>
      </w:r>
    </w:p>
    <w:p>
      <w:r>
        <w:t>Bei diesem Ausgang des Verfahrens sind die Gerichtskosten der unterlie- genden Beschwerdeführerin aufzuerlegen (Art. 63 Abs. 1 VwVG). Die Ge- richtsgebühr ist auf Fr. 500.– festzusetzen (Art. 63 Abs. 5 VwVG i.V.m. Art. 73 StBOG sowie Art. 5 und 8 Abs. 3 lit. a des Reglements des Bun- desstrafgerichts vom 31. August 2010 über die Kosten, Gebühren und Ent- 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