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RR.2016.181 vom 23. Dezember 2016</w:t>
      </w:r>
    </w:p>
    <w:p>
      <w:r>
        <w:t>Bundesstrafgericht, 2016-12-23, IT</w:t>
      </w:r>
    </w:p>
    <w:p>
      <w:r>
        <w:rPr>
          <w:b/>
        </w:rPr>
        <w:t xml:space="preserve">Quelle: </w:t>
      </w:r>
      <w:r>
        <w:t>https://mcp.opencaselaw.ch/entscheid/bstger_RR.2016.181</w:t>
      </w:r>
    </w:p>
    <w:p>
      <w:r>
        <w:t>FR: TPF RR.2016.181 du 23 décembre 2016</w:t>
      </w:r>
    </w:p>
    <w:p>
      <w:r>
        <w:t>IT: TPF RR.2016.181 del 23 dicembre 2016</w:t>
      </w:r>
    </w:p>
    <w:p>
      <w:pPr>
        <w:pStyle w:val="Heading2"/>
      </w:pPr>
      <w:r>
        <w:t>Regeste</w:t>
      </w:r>
    </w:p>
    <w:p>
      <w:r>
        <w:t>Assistenza giudiziaria internazionale in mteria penale all'Italia. Consegna a scopo di confisca (art. 74a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142 IV 250 consid. 3; 140 IV 123 consid. 2; 137 IV 33 consid. 2.2.2; 136 IV 82 consid. 3.1). Il principio di favore vale anche nell'applicazione delle pertinenti norme di diritto internazionale (v. art. 48 n. 2 CAS, 39 n. 3 CRic e art. I n. 2 Accordo italo- svizzero). È fatto salvo il rispetto dei diritti fondamentali (DTF 135 IV 212 consid. 2.3; 123 II 595 consid. 7c).</w:t>
      </w:r>
    </w:p>
    <w:p>
      <w:r>
        <w:t>- 4 -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M. DANGUBIC/T. KESHELAVA, Commentario basilese, Interna- tionales Strafrecht, Basilea 2015, n. 1 e segg. ad art. 12 AIMP), di cui al prece- dente considerando.</w:t>
      </w:r>
    </w:p>
    <w:p>
      <w:r>
        <w:rPr>
          <w:b/>
        </w:rPr>
        <w:t>E. 1.4</w:t>
      </w:r>
    </w:p>
    <w:p>
      <w:r>
        <w:t>Interposto tempestivamente contro la sopraccitata decisione di chiusura, il ri- corso è ricevibile sotto il profilo degli art. 25 cpv. 1, 80e cpv. 1 e 80k AIMP. Locataria del “mini caveau” nel quale è stato rinvenuto il dipinto oggetto della decisione impugnata, A. è legittimata a ricorrere (v. art. 9a lett. b OAIMP; TPF 2007 79 consid. 1.6 pag. 82).</w:t>
      </w:r>
    </w:p>
    <w:p>
      <w:r>
        <w:rPr>
          <w:b/>
        </w:rPr>
        <w:t>E. 2</w:t>
      </w:r>
    </w:p>
    <w:p>
      <w:r>
        <w:t>La ricorrente contesta la confisca del dipinto oggetto della decisione impugnata. Ella sostiene innanzitutto che la sentenza n. 58 del 25 febbraio 2016 emessa dal Tribunale di Pesaro, frutto di patteggiamento, concernerebbe esclusiva- mente B., e non avrebbe nessun effetto nei suoi confronti. Proprietaria del di- pinto, ella non avrebbe potuto esprimersi e far valere i suoi diritti in contraddit- torio dinanzi all’autorità. La ricorrente sarebbe venuta a conoscenza della sen- tenza in questione, di cui contesta il carattere definitivo, unicamente in data 16 giugno 2016, allorquando il pubblico ministero italiano ha depositato la stessa nell’ambito dell’udienza preliminare riguardante il procedimento penale a suo carico, sentenza avverso la quale lei ha sia formulato opposizione dinanzi al GIP del Tribunale penale di Pesaro, sia interposto ricorso in cassazione.</w:t>
      </w:r>
    </w:p>
    <w:p>
      <w:r>
        <w:rPr>
          <w:b/>
        </w:rPr>
        <w:t>E. 2.1</w:t>
      </w:r>
    </w:p>
    <w:p>
      <w:r>
        <w:t>L’art. 74a cpv. 1 AIMP prevede che gli oggetti o i beni sequestrati a scopo con- servativo possono essere consegnati su richiesta all’autorità estera competente a scopo di confisca o di restituzione agli aventi diritto dopo la chiusura della procedura d’assistenza giudiziaria (art. 80d). Giusta il capoverso 3 della mede- sima disposizione la consegna può avvenire in ogni stadio del procedimento estero, di regola su decisione passata in giudicato ed esecutiva dello Stato ri- chiedente (cpv. 3).</w:t>
      </w:r>
    </w:p>
    <w:p>
      <w:r>
        <w:rPr>
          <w:b/>
        </w:rPr>
        <w:t>E. 2.2</w:t>
      </w:r>
    </w:p>
    <w:p>
      <w:r>
        <w:t>In concreto, occorre innanzitutto rilevare che la ricorrente, in data 12 luglio 2016, si è effettivamente opposta al provvedimento di confisca del 25 febbraio 2016 dinanzi al GIP presso il Tribunale Ordinario di Pesaro (v. act. 1.3 e 1.4). Esami- nata la richiesta di revoca della misura in questione, il GIP ha fissato una prima udienza per il 20 luglio 2016, al termine della quale è stata fissata una nuova udienza al 22 settembre (v. act. 1.5). Essendo tale procedura tutt’ora pendente, occorre concludere che la decisione di confisca del 25 febbraio 2016 non è an- cora passata in giudicato ed esecutiva in Italia. A ciò si aggiunge inoltre il fatto che detta decisione è stata parimenti contestata dinanzi alla Corte di cassazione</w:t>
      </w:r>
    </w:p>
    <w:p>
      <w:r>
        <w:t>- 5 -</w:t>
      </w:r>
    </w:p>
    <w:p>
      <w:r>
        <w:t>italiana (v. act. 1.6), ragione per cui, prima di procedere alla consegna all’auto- rità rogante del bene litigioso, occorre perlomeno attendere l’esito di tale proce- dura, visto che non ci si trova (né viene del resto sostenuto dall’opponente o dall’UFG) in una situazione talmente chiara da permettere di soprassedere all’esigenza della decisione passata in giudicato ed esecutiva dello Stato richie- dente (v. a questo proposito la giurisprudenza citata in RASCHÈR/BOMIO, Strafen und Rechtshilfe, in: Kultur/Kunst/Recht. Schweizerisches und internationales Recht, a cura di Mosimann, Renold e Raschèr, Basilea 2009, pag. 382 e seg.). Non da ultimo, il fatto che la ricorrente, apparente proprietaria del dipinto, sia stata impossibilitata a far valere in contraddittorio le proprie ragioni, visto che la confisca è intervenuta nel quadro di una procedura di patteggiamento a lei estranea, potrebbe risultare problematico, tanto più se il procedimento penale nei confronti della predetta dovesse scostarsi dal primo in punto alla questione confiscatoria, il che, vista la differente profondità di scandaglio probatorio fra una procedura di patteggiamento ed una procedura penale ordinaria, non può essere di per sé escluso. È altresì dubbio che, sotto il profilo dell’art. 74a cpv. 3 AIMP, si possa semplicemente bypassare il procedimento ordinario soltanto perché parallelamente ad esso si è giunti ad un patteggiamento riguardante una terza persona che non vanta di per sé diritti di natura civile sull’oggetto seque- strato (v. del resto in Svizzera sia l’art. 70 cpv. 4 CP che l’art. 377 cpv. 2 CPP; più ampiamente BAUMANN, Commentario basilese, 2a ediz., Basilea 2014, n. 2 e 3a ad art. 377 CPP). Ma la questione non necessita di essere ulteriormente approfondita, visto che il ricorso deve essere accolto già solo perché la deci- sione del 25 febbraio 2016 non può considerarsi passata in giudicato ed esecu- tiva e quindi non costituisce un valido titolo per una consegna ex art. 74a cpv.</w:t>
      </w:r>
    </w:p>
    <w:p>
      <w:r>
        <w:rPr>
          <w:b/>
        </w:rPr>
        <w:t>E. 3</w:t>
      </w:r>
    </w:p>
    <w:p>
      <w:r>
        <w:t>In definitiva, il gravame va accolto e la decisione impugnata viene annullata. Il sequestro, per altro non contestato dalla ricorrente e di per sé non oggetto della decisione litigiosa, viene come tale automaticamente mantenuto, senza esi- genza di ribadirlo nel dispositivo della presente sentenza.</w:t>
      </w:r>
    </w:p>
    <w:p>
      <w:r>
        <w:rPr>
          <w:b/>
        </w:rPr>
        <w:t>E. 4.1</w:t>
      </w:r>
    </w:p>
    <w:p>
      <w:r>
        <w:t>Visto l'esito della procedura non si riscuote tassa di giustizia (art. 63 cpv. 2 PA richiamato l'art. 39 cpv. 2 lett. b LOAP). La cassa del Tribunale penale federale restituirà alla ricorrente l'anticipo delle spese già pervenuto pari a fr. 5'000.-- (v. act. 4).</w:t>
      </w:r>
    </w:p>
    <w:p>
      <w:r>
        <w:t>- 6 -</w:t>
      </w:r>
    </w:p>
    <w:p>
      <w:r>
        <w:rPr>
          <w:b/>
        </w:rPr>
        <w:t>E. 4.2</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queste disposizione agli art. 10 e segg. In base all'art. 12 cpv. 2 RSPPF, se l'avvocato, come in casu, non presenta alcuna nota delle spese, l'onorario è fissato secondo il libero appezzamento della Corte dei reclami penali. Nella fat- tispecie, appare adeguato un onorario di fr. 2’000.--. L'indennità è messa a ca- rico del Ministero pubblico ticinese in quanto autorità inferiore giusta l'art. 64 cpv. 2 PA.</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