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RR.2016.170 vom 25. Januar 2017</w:t>
      </w:r>
    </w:p>
    <w:p>
      <w:r>
        <w:t>Bundesstrafgericht, 2017-01-25, DE</w:t>
      </w:r>
    </w:p>
    <w:p>
      <w:r>
        <w:rPr>
          <w:b/>
        </w:rPr>
        <w:t xml:space="preserve">Quelle: </w:t>
      </w:r>
      <w:r>
        <w:t>https://mcp.opencaselaw.ch/entscheid/bstger_RR.2016.170</w:t>
      </w:r>
    </w:p>
    <w:p>
      <w:r>
        <w:t>FR: TPF RR.2016.170 du 25 janvier 2017</w:t>
      </w:r>
    </w:p>
    <w:p>
      <w:r>
        <w:t>IT: TPF RR.2016.170 del 25 gennaio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w:t>
      </w:r>
    </w:p>
    <w:p>
      <w:r>
        <w:t>- 4 -</w:t>
      </w:r>
    </w:p>
    <w:p>
      <w:r>
        <w:t>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Die Schlussverfügung vom 6. Juli 2016 wurde fristgerecht angefoch- ten.</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Als persönlich und direkt betroffen im Sinne der Art. 21 Abs. 3 und Art. 80h lit. b IRSG gelten im Falle von Haus- durchsuchungen der jeweilige Eigentümer oder Mieter, der im Besitz der si- chergestellten Unterlagen war (Art. 9a lit. b IRSV).</w:t>
      </w:r>
    </w:p>
    <w:p>
      <w:r>
        <w:t>Die Hausdurchsuchung vom 16. August 2016 fand in den Wohnräumen und Fahrzeugen des Beschwerdeführers statt. Der Beschwerdeführer ist durch die Herausgabe von dort erhobenen Unterlagen somit persönlich und direkt betroffen und zur Beschwerde legitimiert. Auf die Beschwerde ist einzutre- 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- 5 -</w:t>
      </w:r>
    </w:p>
    <w:p>
      <w:r>
        <w:t>E. 1.4; Urteil des Bundesgerichts 1A.1/2009 vom 20. März 2009, E. 1.6; TPF 2011 97 E. 5).</w:t>
      </w:r>
    </w:p>
    <w:p>
      <w:r>
        <w:rPr>
          <w:b/>
        </w:rPr>
        <w:t>E. 4</w:t>
      </w:r>
    </w:p>
    <w:p>
      <w:r>
        <w:t>Dem Rechtshilfeersuchen und seinen Beilagen kann entnommen werden, dass der Beschwerdeführer bei der C. GmbH bis zum 30. Juli 2010 als Infor- matiker angestellt gewesen sei. Als Anwendungsentwickler und Systemana- lytiker sei er damit betraut gewesen, im Auftrag der D. AG, der wichtigsten und grössten Kundin der C. GmbH, die E. AG bei der Integrierung von deren Banksoftware F. in die von der B. AG entwickelte Bankenplattform G. zu un- terstützen. Dabei sei er gemäss Anstellungsvertrag verpflichtet gewesen, über Geschäfts- und Betriebsgeheimnisse der C. GmbH Stillschweigen zu bewahren. Die Inhalte der Datenbank «H.», die von der C. GmbH entwickelt worden sei und von ihr bei der Entwicklung von Softwareprodukten für die Verwaltung verschiedener Entwicklungsstände ihrer Softwareprodukte ver- wendet würde und die den Quellcode von über 100 Programmen mit jeweils bis zu 8‘000 Einzeldateien beinhalte sowie einen Gesamtwert von EUR 15 bis 20 Mio. aufweise, habe der Beschwerdeführer regelmässig auf seinen Arbeitsrechner- bzw. Notebook kopiert und aktualisiert. Dieses habe er auch ausserhalb der Firmenräume der C. GmbH verwendet. Diese Inhalte habe er entweder bereits vor seinem Ausscheiden aus der C. GmbH oder an- schliessend an die E. AG weitergegeben, wo er in der Folge beschäftigt ge- wesen sei. Dort habe er die Inhalte für seine Tätigkeit der Softwareentwick- lung genutzt oder anderen Mitarbeitern zur Verfügung gestellt (vgl. insbe- sondere Verfahrensakten, act. 8).</w:t>
      </w:r>
    </w:p>
    <w:p>
      <w:r>
        <w:t>Die Sachverhaltsdarstellung im Rechtshilfeersuchen enthält keine offen- sichtlichen Fehler, Lücken oder Widersprüche, welche den Sachverhaltsvor- wurf sofort entkräften würden, weshalb der Rechtshilferichter an diese ge- bunden ist (BGE 142 IV 250 E. 6.3; 133 IV 76 E. 2.2; 132 II 81 E. 2.1 S. 85; TPF 2012 114 E. 7.3). Die vom Beschwerdeführer dagegen vorgebrachte eigene Darstellung des Sachverhaltes (act. 1, Ziff. 8-11) erweist sich dem- gegenüber als unzulässig. Entsprechend ist darauf nicht weiter einzugehen (Entscheide des Bundesstrafgerichts RR.2013.254 vom 19. Dezem- ber 2013, E. 4.5; RR.2013.116 vom 29. August 2013, E. 6.2; RR.2012.268 vom 2. Mai 2013, E. 6).</w:t>
      </w:r>
    </w:p>
    <w:p>
      <w:r>
        <w:t>- 6 -</w:t>
      </w:r>
    </w:p>
    <w:p>
      <w:r>
        <w:rPr>
          <w:b/>
        </w:rPr>
        <w:t>E. 5.1</w:t>
      </w:r>
    </w:p>
    <w:p>
      <w:r>
        <w:t>Der Beschwerdeführer bringt vor, die Herausgabe der Unterlagen und Be- weismittel sei in verschiedener Hinsicht unverhältnismässig (act. 1, Ziff. 39 ff.).</w:t>
      </w:r>
    </w:p>
    <w:p>
      <w:r>
        <w:rPr>
          <w:b/>
        </w:rPr>
        <w:t>E. 5.2</w:t>
      </w:r>
    </w:p>
    <w:p>
      <w:r>
        <w:t>Rechtshilfeweise beantragte Zwangsmassnahmen sind nach den Vorschrif- ten des schweizerischen Strafprozessrechts durchzuführen (Art. 64 Abs. 1 Satz 2 und Art. 12 Abs. 1 Satz 2 IRSG; vgl. auch Art. 3 Ziff. 1 EUeR; BGE 130 II 193 E. 4.1 S. 196). Das Zwangsmassnahmengericht hat alsdann auf Ge- such der Strafbehörde hin im Entsiegelungsverfahren zu entscheiden, ob bzw. inwieweit einer Entsiegelung tatsächlich schützenswerte Geheimhal- tungsinteressen entgegenstehen (BGE 140 IV 28 E. 4.3.8 S. 39; 130 II 193 E. 4.1 S. 196 f.). In Rechtshilfeverfahren erlaubt Art. 80e Abs. 2 IRSG nur eingeschränkt, Zwischenentscheide anzufechten. Gegen die Schlussverfü- gung können daher Einwendungen auch gegen Zwischenverfügungen erho- ben werden (Art. 80e Abs. 1 IRSG). Das Entsiegelungsverfahren ist Teil des Rechtshilfeverfahrens. Somit sind vor der Beschwerdekammer auch Ein- wendungen gegen einen Entsiegelungsentscheid in Rechtshilfesachen des Zwangsmassnahmengerichts zulässig (TPF 2014 92 E. 3.2). Damit kann der Beschwerdeführer – anders als es das BJ vorbringt (act. 7, S. 2) – mit der Beschwerde ohne Weiteres auch Einwendungen gegen den Entsiegelungs- entscheid des ZMG TG, insbesondere die Verletzung von eigenen Ge- schäfts- oder Privatgeheimnissen, geltend machen.</w:t>
      </w:r>
    </w:p>
    <w:p>
      <w:r>
        <w:rPr>
          <w:b/>
        </w:rPr>
        <w:t>E. 5.3</w:t>
      </w:r>
    </w:p>
    <w:p>
      <w:r>
        <w:t>Rechtshilfemassnahmen haben generell dem Prinzip der Verhältnismässig- keit zu genügen (ZIMMERMANN, La coopération judiciaire internationale en matière pénale, 4. Aufl., Bern 2014, N. 717 ff., mit Verweisen auf die Recht- 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w:t>
      </w:r>
    </w:p>
    <w:p>
      <w:r>
        <w:t>- 7 -</w:t>
      </w:r>
    </w:p>
    <w:p>
      <w:r>
        <w:t>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136 IV 82 E.4.4 S. 86; 134 II 318 E. 6.4; 128 II 407 E. 6.3.1 S. 423; TPF 2009 161 E. 5.1 S. 163 m.w.H.). Hierbei ist auch zu beachten, dass für das ausländische Strafverfahren nicht nur belastende, sondern auch entlastende Beweismittel von Bedeutung sein können, um einen bestehen- 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rPr>
          <w:b/>
        </w:rPr>
        <w:t>E. 5.4</w:t>
      </w:r>
    </w:p>
    <w:p>
      <w:r>
        <w:t>Soweit der Beschwerdeführer ausführt, dass es sich bei verschiedenen Do- kumenten hauptsächlich um persönliche Notizen und Aufzeichnungen han- deln soll und seine Persönlichkeitsschutzinteressen die deutschen Strafver- folgungsinteressen überwiegen würden (act. 1, Ziff. 49 ff.) und es damit auch an der potentiellen Erheblichkeit fehle, ist auf die Ausführungen des ZMG TG vom 8. Februar 2013 zu verweisen: So handle es sich dabei um Akten, die mit der Berufstätigkeit des Beschwerdeführers und damit mit den untersuch- ten Straftaten zu tun haben könnten. Dies gelte namentlich auch für die per- sönlichen Notizen, die keine Aufschriebe über den Beschwerdeführer ent- hielten, sondern mutmasslich um solche über Programmierschritte und der- gleichen. So sei es zumindest als möglich zu erachten, dass die Dokumente die der Beschwerdeführer im Auftrag seiner Arbeitgeber zu Hause (Home- Office) bearbeitete, Informationen über die Verwendung von Quellcodes ent- halten würden (act. 1.7, E. 5). Bezüglich der sichergestellten elektronischen Daten verfügte das ZMG TG am 19. November 2015 die Entsiegelung (act. 1.9). Nachdem die Daten in einem ersten Schritt mit einer Tabelle mit 121‘598 Hashwerten abgeglichen worden waren, hatte das ZMG TG am 18. Mai 2015 eine drastische Reduktion der Dateien verlangt (act. 1.8). Die abzugleichenden Hashwerte wurden sodann auf 14 reduziert. Diese seien</w:t>
      </w:r>
    </w:p>
    <w:p>
      <w:r>
        <w:t>- 8 -</w:t>
      </w:r>
    </w:p>
    <w:p>
      <w:r>
        <w:t>im Hinblick auf die für die Strafuntersuchung relevanten Tatbestände ge- wählt worden, so dass zwanglos davon ausgegangen werden könne, dass ein Zusammenhang mit dem Gegenstand der Strafuntersuchung bestehe. Das Ergebnis der Hashwertabgleichung habe zu Dateien geführt, die – in der Baumstruktur dargestellt – jeweils mit dem Pfadnamen «F./…» beginnen. Da dem Beschwerdeführer vorgeworfen werde, die Datenbank der C. GmbH ko- piert und der E. AG zur Verfügung gestellt zu haben, wobei es unter anderem um die Bankensoftware F. gehe, sei ein Zusammenhang mit den Dateien unter diesem Pfadnamen wahrscheinlich (act. 1.9, E. 3). Gegen diese zutref- fenden Ausführungen bringt der Beschwerdeführer lediglich vor, es sei «of- fensichtlich», dass eine Reihe von Dokumenten nichts mit dem deutschen Strafverfahren zu tun hätten und listet diese auf (act. 1, Ziff. 49 f., 68). Abge- sehen davon, dass ein Teil dieser Dokumente (Arbeitsvertrag mit der E. AG; Anstellungsvertrag mit C. GmbH) mangels potentieller Erheblichkeit bereits vom ZMG TG am 8. Februar 2013 nicht entsiegelt wurde und damit nicht Teil der herauszugebenden Beweismittel ist (act. 1.7), kommt der Beschwerde- führer in Bezug auf die anderen Dokumente mit dem blossen Auflisten der Dokumente und ohne detaillierte Substantiierung seiner Mitwirkungsoblie- genheit nicht nach. In Anbetracht der im Rechtshilfeersuchen umschriebe- nen, für das Rechtshilfegericht bindenden Verdachtsgründe ist eine potenti- elle Erheblichkeit der einverlangten Unterlagen jedenfalls nicht von der Hand zu weisen. Eine Verletzung des Persönlichkeitsschutzes des Beschwerde- führers ist zudem nicht zu erkennen. Im Übrigen lässt sich nicht ausschlies- sen, dass ein Teil der im Rechtshilfeverfahren übermittelten Auskünfte und Dokumente durchaus auch der Entlastung des Beschuldigten dienen kann. Zusammenfassend kann festgehalten werden, dass die Herausgabe der in Frage stehenden Unterlagen und Daten an die ersuchende Behörde das Prinzip der Verhältnismässigkeit nicht verletzt.</w:t>
      </w:r>
    </w:p>
    <w:p>
      <w:r>
        <w:rPr>
          <w:b/>
        </w:rPr>
        <w:t>E. 6</w:t>
      </w:r>
    </w:p>
    <w:p>
      <w:r>
        <w:t>Der Beschwerdeführer macht weiter geltend, dass es sich bei den heraus- zugebenden Daten um Geschäftsgeheimnisse der E. AG, der Arbeitgeberin des Beschwerdeführers, handle (act. 1, Ziff. 42 ff.). Diesbezüglich ist jedoch festzuhalten, dass er mit Rügen, die stellvertretend für einen Dritten bzw. in dessen Interesse erhoben werden, nicht zu hören ist (BGE 139 II 404 E. 11.1 S. 447; 137 IV 134 E. 5.2.2 m.w.H.; Urteile des Bundesgerichts 1C_79/2014 vom 14. Februar 2014, E. 2.3; 1C_371/2013 vom 3. Mai 2013, E. 2.1.1; 1C_317/2012 vom 2. Juli 2012, E. 2.2.1; Entscheide des Bundesstrafgerichts RR.2016.6 vom 19. April 2016, E. 4.2.2; RR.2014.237 vom 17. Dezem- ber 2014, E. 3.4).</w:t>
      </w:r>
    </w:p>
    <w:p>
      <w:r>
        <w:t>- 9 -</w:t>
      </w:r>
    </w:p>
    <w:p>
      <w:r>
        <w:rPr>
          <w:b/>
        </w:rPr>
        <w:t>E. 7</w:t>
      </w:r>
    </w:p>
    <w:p>
      <w:r>
        <w:t>Die Beschwerde erweist sich nach dem Gesagten als unbegründet. Andere Hindernisse, welche der zu gewährenden Rechtshilfe entgegenstehen wür- den, sind nicht ersichtlich. Die Beschwerde ist abzuweisen.</w:t>
      </w:r>
    </w:p>
    <w:p>
      <w:r>
        <w:rPr>
          <w:b/>
        </w:rPr>
        <w:t>E. 8</w:t>
      </w:r>
    </w:p>
    <w:p>
      <w:r>
        <w:t>Bei diesem Ausgang des Verfahrens sind die Gerichtskosten dem mit seinen Beschwerdeanträgen unterliegenden Beschwerdeführer aufzuerlegen (Art. 63 Abs. 1 VwVG). Die Gerichtsgebühr ist auf Fr. 5'000.– festzusetzen, unter Anrechnung des geleisteten Kostenvorschusses in gleicher Höhe (siehe act. 5; Art. 63 Abs. 5 VwVG i.V.m. Art. 73 StBOG sowie Art. 5 und 8 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