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RR.2016.17 vom 10. Februar 2016</w:t>
      </w:r>
    </w:p>
    <w:p>
      <w:r>
        <w:t>Bundesstrafgericht, 2016-02-10, DE</w:t>
      </w:r>
    </w:p>
    <w:p>
      <w:r>
        <w:rPr>
          <w:b/>
        </w:rPr>
        <w:t xml:space="preserve">Quelle: </w:t>
      </w:r>
      <w:r>
        <w:t>https://mcp.opencaselaw.ch/entscheid/bstger_RR.2016.17</w:t>
      </w:r>
    </w:p>
    <w:p>
      <w:r>
        <w:t>FR: TPF RR.2016.17 du 10 février 2016</w:t>
      </w:r>
    </w:p>
    <w:p>
      <w:r>
        <w:t>IT: TPF RR.2016.17 del 10 febbraio 2016</w:t>
      </w:r>
    </w:p>
    <w:p>
      <w:pPr>
        <w:pStyle w:val="Heading2"/>
      </w:pPr>
      <w:r>
        <w:t>Regeste</w:t>
      </w:r>
    </w:p>
    <w:p>
      <w:r>
        <w:t>Internationale Rechtshilfe in Strafsachen an Deutschland. Entsiegelungsentscheid (Art. 80e Abs. 2 IRSG). Aufschiebende Wirkung (Art. 80/ IRSG).</w:t>
      </w:r>
    </w:p>
    <w:p>
      <w:pPr>
        <w:pStyle w:val="Heading2"/>
      </w:pPr>
      <w:r>
        <w:t>Erwägungen</w:t>
      </w:r>
    </w:p>
    <w:p>
      <w:r>
        <w:rPr>
          <w:b/>
        </w:rPr>
        <w:t>E. 29</w:t>
      </w:r>
    </w:p>
    <w:p>
      <w:r>
        <w:t>Dezember 2015 des Schweizerischen Handelsamtsblatts stützte, wo- nach die Liquidation der A. AG beendet sei, weshalb mangels Rechtsper- sönlichkeit und Parteifähigkeit auf die Begehren und Anträge der A. AG nicht einzugehen sei (act. 1.2);</w:t>
      </w:r>
    </w:p>
    <w:p>
      <w:r>
        <w:t>- dagegen der Rechtsvertreter der A. AG mit Eingabe vom 5. Februar 2016 Beschwerde bei der Beschwerdekammer des Bundesstrafgerichts erhebt und die Aufhebung der angefochtenen Verfügung beantragt unter Kosten- und Entschädigungsfolgen zulasten der Beschwerdegegnerin; er den pro- zessualen Antrag stellt, der Beschwerde sei die aufschiebende Wirkung zu gewähren (act. 1 S. 2);</w:t>
      </w:r>
    </w:p>
    <w:p>
      <w:r>
        <w:t>- die Beschwerdeführerin vorbringt, das Handelsregisteramt habe die Lö- schung versehentlich veranlasst; die irrtümlich gelöschte Gesellschaft zum Zwecke der Liquidation wieder in das Handelsregister eingetragen worden sei; aufgrund der vorgenommenen Berichtigung davon auszugehen sei, sie habe nie ihre Rechtspersönlichkeit verloren; sie damit parteifähig gewesen sei und noch sei, weshalb die angefochtene Verfügung aufzuheben sei (act. 1 S. 4 f.);</w:t>
      </w:r>
    </w:p>
    <w:p>
      <w:r>
        <w:t>- 3 -</w:t>
      </w:r>
    </w:p>
    <w:p>
      <w:r>
        <w:t>- mit Verfügung vom 8. Februar 2016 das ZMG seine Verfügung vom 25. Ja- nuar 2016 aufhob und das Entsiegelungsverfahren fortführt (act. 3 und 4); es davon ausging, dass die Löschung irrtümlich erfolgt sei und seine Verfü- gung vom 25. Januar 2016 auf einer unzutreffenden Feststellung des Sach- verhalts in einer behördlichen Publikation beruhe (act. 3 und 4 S. 3);</w:t>
      </w:r>
    </w:p>
    <w:p>
      <w:r>
        <w:t>- bei dieser Sachlage die vorliegende Beschwerde gegen die Verfügung vom 25. Januar 2016 gegenstandslos und infolgedessen vom Geschäftsverzeich- nis abzuschreiben ist (s. Entscheid des Bundesstrafgerichts RR.2014.116- 118 vom 13. Mai 2015); damit auch das Gesuch um Erteilung der aufschie- benden Wirkung der Beschwerde als gegenstandslos geworden abzuschrei- ben ist;</w:t>
      </w:r>
    </w:p>
    <w:p>
      <w:r>
        <w:t>- für den Entscheid über die Kosten- und Entschädigungsfolgen bei Gegen- standslosigkeit im Beschwerdeverfahren in internationalen Rechtshilfeange- legenheiten Art. 72 des Bundesgesetzes über den Bundeszivilprozess vom 4. Dezember 1947 (BZP; SR 273) sinngemäss zur Anwendung gelangt (an- stelle vieler Entscheid des Bundesstrafgerichts RR.2008.133 vom 3. Sep- tember 2008);</w:t>
      </w:r>
    </w:p>
    <w:p>
      <w:r>
        <w:t>- gemäss Art. 72 BZP das Gericht mit summarischer Begründung über die Prozesskosten auf Grund der Sachlage vor Eintritt des Erledigungsgrundes entscheidet;</w:t>
      </w:r>
    </w:p>
    <w:p>
      <w:r>
        <w:t>- bei der Beurteilung der Kosten- und Entschädigungsfolgen somit in erster Linie auf den mutmasslichen Ausgang des Prozesses abzustellen ist; die Regelung bezweckt, denjenigen, der in guten Treuen Beschwerde erhoben hat, nicht im Kostenpunkt dafür zu bestrafen, dass die Beschwerde infolge nachträglicher Änderung der Umstände abzuschreiben ist, ohne dass ihm dies anzulasten wäre (BGE 118 Ia 488 E. 4a S. 494 f.);</w:t>
      </w:r>
    </w:p>
    <w:p>
      <w:r>
        <w:t>- nach der bundesgerichtlichen Rechtsprechung auf allgemein zivilprozess- rechtliche Kriterien zurückzugreifen ist, wenn sich der mutmassliche Aus- gang eines Verfahrens im konkreten Fall nicht ohne weiteres feststellen lässt; danach in erster Linie jene Partei kosten- und entschädigungspflichtig wird, die das gegenstandslos gewordene Verfahren veranlasst oder bei der die Gründe eingetreten sind, die zur Gegenstandslosigkeit des Verfahrens geführt haben (BGE 125 V 373 E. 2a S. 374 f.; Verfügung des Bundesge- richts 2C_201/2008 vom 14. Juli 2008, E. 2.3);</w:t>
      </w:r>
    </w:p>
    <w:p>
      <w:r>
        <w:t>- 4 -</w:t>
      </w:r>
    </w:p>
    <w:p>
      <w:r>
        <w:t>- 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IRSG; Art. 37 Abs. 2 lit. a StBOG; Art. 19 Abs. 1 BStGerOG);</w:t>
      </w:r>
    </w:p>
    <w:p>
      <w:r>
        <w:t>- gemäss Art. 80e Abs. 2 IRSG der Schlussverfügung vorangehende Zwi- schenverfügungen selbständig angefochten werden können, sofern sie ei- nen unmittelbaren und nicht wieder gutzumachenden Nachteil bewirken:</w:t>
      </w:r>
    </w:p>
    <w:p>
      <w:r>
        <w:t>a. durch die Beschlagnahme von Vermögenswerten und Wertgegenstän-</w:t>
      </w:r>
    </w:p>
    <w:p>
      <w:r>
        <w:t>den; oder b. durch die Anwesenheit von Personen, die am ausländischen Prozess</w:t>
      </w:r>
    </w:p>
    <w:p>
      <w:r>
        <w:t>beteiligt sind;</w:t>
      </w:r>
    </w:p>
    <w:p>
      <w:r>
        <w:t>- nach der bundesgerichtlichen Auslegung die Aufzählung der selbständig an- fechtbaren Zwischenverfügungen in lit. a und b von Art. 80e Abs. 2 IRSG grundsätzlich abschliessend ist (s. BGE 126 II 495):</w:t>
      </w:r>
    </w:p>
    <w:p>
      <w:r>
        <w:t>- der Entscheid über die Entsiegelung von Papieren nach der Rechtsprechung grundsätzlich eine nicht selbständig anfechtbare Zwischenverfügung im Rechtshilfeverfahren darstellt, welche zusammen mit der Schlussverfügung angefochten werden kann (s. Art. 80e Abs. 2 lit. a und b IRSG e contrario; BGE 138 IV 40 E. 2.3.1, 127 II 151 E. 4c/bb S. 156; 126 II 495 E. 3 und E. 5e/bb-dd S. 503 ff.);</w:t>
      </w:r>
    </w:p>
    <w:p>
      <w:r>
        <w:t>- die Beschwerdeführerin zwar vorbrachte, sie würde einen unmittelbaren und nicht wieder gutzumachenden Nachteil erleiden, da sie des Rechts verlustig gehen würde, sich gegen die Durchsuchung schützenswerter Unterlagen wehren zu können, wenn die angefochtene Verfügung geschützt würde (act. 1 S. 3 f.); sie aber damit nicht darlegte, inwiefern vorliegend eine Aus- nahme von der restriktiven gesetzlichen Regelung in Art. 80e Abs. 2 lit. a und b IRSG zulässig sein soll (s. act. 1);</w:t>
      </w:r>
    </w:p>
    <w:p>
      <w:r>
        <w:t>- nach dem Gesagten auf die vorliegende Beschwerde mutmasslich nicht ein- zutreten gewesen wäre;</w:t>
      </w:r>
    </w:p>
    <w:p>
      <w:r>
        <w:t>- es sich unter den besonderen Umständen des vorliegenden Falles rechtfer- tigt, auf eine Kostenauflage an die Beschwerdeführerin zu verzichten.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