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RR.2016.169 vom 22. Mai 2017</w:t>
      </w:r>
    </w:p>
    <w:p>
      <w:r>
        <w:t>Bundesstrafgericht, 2017-05-22, FR</w:t>
      </w:r>
    </w:p>
    <w:p>
      <w:r>
        <w:rPr>
          <w:b/>
        </w:rPr>
        <w:t xml:space="preserve">Quelle: </w:t>
      </w:r>
      <w:r>
        <w:t>https://mcp.opencaselaw.ch/entscheid/bstger_RR.2016.169</w:t>
      </w:r>
    </w:p>
    <w:p>
      <w:r>
        <w:t>FR: TPF RR.2016.169 du 22 mai 2017</w:t>
      </w:r>
    </w:p>
    <w:p>
      <w:r>
        <w:t>IT: TPF RR.2016.169 del 22 maggio 2017</w:t>
      </w:r>
    </w:p>
    <w:p>
      <w:pPr>
        <w:pStyle w:val="Heading2"/>
      </w:pPr>
      <w:r>
        <w:t>Regeste</w:t>
      </w:r>
    </w:p>
    <w:p>
      <w:r>
        <w:t>Entraide judiciaire internationle en matière pénale à la Roumanie. Remise de moyens de preuve (art. 74 EIMP). Saisie conservatoire (art. 33a OEIMP).</w:t>
      </w:r>
    </w:p>
    <w:p>
      <w:pPr>
        <w:pStyle w:val="Heading2"/>
      </w:pPr>
      <w:r>
        <w:t>Erwägungen</w:t>
      </w:r>
    </w:p>
    <w:p>
      <w:r>
        <w:rPr>
          <w:b/>
        </w:rPr>
        <w:t>E. 1</w:t>
      </w:r>
    </w:p>
    <w:p>
      <w:r>
        <w:t>L’entraide judiciaire entre la Roumanie et la Confédération suisse est régie par la Convention européenne d’entraide judiciaire en matière pénale (CEEJ; RS 0.351.1), entrée en vigueur pour la Suisse le 20 mars 1967 et pour la Roumanie le 15 juin 1999, ainsi que par le Deuxième Protocole additionnel à la Convention (RS 0.351.12), entré en vigueur pour la Suisse le 1er février 2005 et pour la Roumanie le 1er mars 2005. Le droit interne pertinent, soit en l’occurrence la loi fédérale sur l’entraide pénale internationale en matière pénale (EIMP; RS 351.1) et son ordonnance d’exécution (OEIMP; RS 351.11), reste applicable aux questions qui ne sont réglées ni explicitement ni implicitement par les traités, ou lorsqu’il est plus favorable à l’entraide, sous réserve du respect des droits fondamentaux (ATF 142 IV 250 consid. 3; 140 IV 123 consid. 2; 135 IV 212 consid. 2.3; 123 II 595 consid. 7c).</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t>- 4 -</w:t>
      </w:r>
    </w:p>
    <w:p>
      <w:r>
        <w:rPr>
          <w:b/>
        </w:rPr>
        <w:t>E. 1.2</w:t>
      </w:r>
    </w:p>
    <w:p>
      <w:r>
        <w:t>Selon l'art. 80h let. b EIMP, la qualité pour agir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la qualité pour recourir est reconnue au recourant, en tant que titulaire du compte visé par la mesure querellée (v. arrêt du Tribunal pénal fédéral RR.2012.181 du 12 février 2013, consid. 2.3). Il ne détient par contre pas la qualité pour recourir s’agissant des autres relations bancaires dont il n’est pas le titulaire visées par la décision de clôture (v. let. B).</w:t>
      </w:r>
    </w:p>
    <w:p>
      <w:r>
        <w:rPr>
          <w:b/>
        </w:rPr>
        <w:t>E. 1.3</w:t>
      </w:r>
    </w:p>
    <w:p>
      <w:r>
        <w:t>Le délai de recours contre la décision de clôture est de 30 jours dès la communication écrite de la décision (art. 80k EIMP).</w:t>
      </w:r>
    </w:p>
    <w:p>
      <w:r>
        <w:rPr>
          <w:b/>
        </w:rPr>
        <w:t>E. 1.4</w:t>
      </w:r>
    </w:p>
    <w:p>
      <w:r>
        <w:t>Dans les cas où la décision de clôture et/ou la décision d'entrée en matière est notifiée à un établissement bancaire en l'absence d'une notification formelle à l'intéressé, la jurisprudence considère que, lorsque le titulaire du compte a conclu une convention dite de « banque restante », le délai de recours commence à courir dès le lendemain du dépôt de la décision dans le dossier de « banque restante » (ATF 124 II 124 consid. 2e). En effet, le lien entre la banque et le titulaire relève du mandat. En vertu de l'obligation de reddition de comptes, la banque doit renseigner le client et l'informer de tous les faits qui sont susceptibles d'avoir un impact sur la relation contractuelle (arrêt du Tribunal pénal fédéral RR.2016.24 du 27 avril 2016, consid. 2.2 et références citées). Il peut être attendu de la banque qu'elle informe le titulaire de la relation saisie afin que l'intéressé puisse se déterminer sur la conduite à tenir (ATF 130 IV 43 consid. 1.3 et références citées). Si la banque n'a pas informé à temps le titulaire du compte des décisions rendues ou qu'elle n'a pas pu le faire faute d'adresse valable, c'est au titulaire du compte d'en assumer les conséquences. Dans ce cas, il n'y a pas de violation du droit d'être entendu (arrêt du Tribunal pénal fédéral RR.2010.85 du 14 février 2011, consid. 4.2 et références citées). Si le client a indiqué à la banque qu'il ne souhaitait pas recevoir les communications que la banque doit lui adresser mais que celles-ci doivent être conservées par la banque dans son dossier (clause « banque restante »), chaque communication effectuée « banque restante » est réputée valablement notifiée et lui est opposable comme s'il l'avait personnellement reçue.</w:t>
      </w:r>
    </w:p>
    <w:p>
      <w:r>
        <w:rPr>
          <w:b/>
        </w:rPr>
        <w:t>E. 1.5</w:t>
      </w:r>
    </w:p>
    <w:p>
      <w:r>
        <w:t>En l’espèce, la décision entreprise date du 5 juillet 2016 (act. 1.1). Le recourant, qui a conclu une convention de « banque restante » (dossier de</w:t>
      </w:r>
    </w:p>
    <w:p>
      <w:r>
        <w:t>- 5 -</w:t>
      </w:r>
    </w:p>
    <w:p>
      <w:r>
        <w:t>MP-GE, pièce n° 32'830), allègue que la banque a reçu ledit prononcé le</w:t>
      </w:r>
    </w:p>
    <w:p>
      <w:r>
        <w:rPr>
          <w:b/>
        </w:rPr>
        <w:t>E. 6</w:t>
      </w:r>
    </w:p>
    <w:p>
      <w:r>
        <w:t>Enfin, le recourant requiert la Cour de céans d’inviter le MP-GE à s’abstenir de toute transmission de documents et informations à l’autorité requérante jusqu’à droit jugé dans le cadre de la présente procédure de recours (act. 18). Le recourant s’est en effet plaint auprès du MP-GE le 16 décembre 2016 (supra let. H) que, malgré l’effet suspensif automatique du présent recours (art. 21 al. 4 et 80l EIMP), il a transmis en exécution simplifiée des pièces à l’Etat requérant, a procédé à l’audition de Me M. et envisage de remettre des nouveaux documents aux autorités roumaines, notamment le procès-verbal de ladite audition (act. 18.1).</w:t>
      </w:r>
    </w:p>
    <w:p>
      <w:r>
        <w:rPr>
          <w:b/>
        </w:rPr>
        <w:t>E. 6.1</w:t>
      </w:r>
    </w:p>
    <w:p>
      <w:r>
        <w:t>A supposer que le recourant soit légitimé à mettre en cause la transmission spontanée de moyens de preuve concernant des tierces personnes, ainsi que l’accord de ces dernières à la transmission simplifiée – ce qui ne paraît pas être le cas en l’espèce – Il n'appartient toutefois pas à la Cour de céans, autorité de recours et non de surveillance, de donner des instructions à l’autorité d’exécution. Par conséquent, ce dernier grief est irrecevable.</w:t>
      </w:r>
    </w:p>
    <w:p>
      <w:r>
        <w:rPr>
          <w:b/>
        </w:rPr>
        <w:t>E. 7</w:t>
      </w:r>
    </w:p>
    <w:p>
      <w:r>
        <w:t>Il découle des considérants qui précèdent que le recours doit être rejeté dans la mesure de sa recevabilité.</w:t>
      </w:r>
    </w:p>
    <w:p>
      <w:r>
        <w:rPr>
          <w:b/>
        </w:rPr>
        <w:t>E. 8</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Il doit en l’occurrence être réduit du fait que l’autorité inférieure a violé le droit d’être entendu du recourant (supra consid. 2.9). Ce dernier supportera dès lors des frais réduits et fixés à CHF 7'000.-- (art. 73 al. 2 LOAP et art. 8 al. 3 du règlement du Tribunal pénal fédéral sur les frais, émoluments, dépens et indemnités de la procédure pénale fédérale [RFPPF; RS 173.713.162] et art. 63 al. 5 PA). Le recourant ayant versé CHF 8’000.-- à titre d’avance de frais, l’émolument du présent arrêt est couvert par celle-ci et la caisse du Tribunal pénal fédéral lui restituera le solde par CHF 1’000.--.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