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RR.2016.168 vom 11. August 2016</w:t>
      </w:r>
    </w:p>
    <w:p>
      <w:r>
        <w:t>Bundesstrafgericht, 2016-08-11, FR</w:t>
      </w:r>
    </w:p>
    <w:p>
      <w:r>
        <w:rPr>
          <w:b/>
        </w:rPr>
        <w:t xml:space="preserve">Quelle: </w:t>
      </w:r>
      <w:r>
        <w:t>https://mcp.opencaselaw.ch/entscheid/bstger_RR.2016.168</w:t>
      </w:r>
    </w:p>
    <w:p>
      <w:r>
        <w:t>FR: TPF RR.2016.168 du 11 août 2016</w:t>
      </w:r>
    </w:p>
    <w:p>
      <w:r>
        <w:t>IT: TPF RR.2016.168 del 11 agosto 2016</w:t>
      </w:r>
    </w:p>
    <w:p>
      <w:pPr>
        <w:pStyle w:val="Heading2"/>
      </w:pPr>
      <w:r>
        <w:t>Regeste</w:t>
      </w:r>
    </w:p>
    <w:p>
      <w:r>
        <w:t>Extradition à l'Italie. Demande de mise sous scellés (art. 9 EIMP en lien avec l'art. 248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ordonné à la banque B. de bloquer, en faveur de l’OFJ le compte 1 appartenant à A.</w:t>
      </w:r>
    </w:p>
    <w:p>
      <w:r>
        <w:rPr>
          <w:b/>
        </w:rPr>
        <w:t>E. 2</w:t>
      </w:r>
    </w:p>
    <w:p>
      <w:r>
        <w:t>Le montant des valeurs bloquées devra être communiqué par fax à l’OFJ dans les meilleurs délais.</w:t>
      </w:r>
    </w:p>
    <w:p>
      <w:r>
        <w:rPr>
          <w:b/>
        </w:rPr>
        <w:t>E. 3</w:t>
      </w:r>
    </w:p>
    <w:p>
      <w:r>
        <w:t>Il est statué sans frais.</w:t>
      </w:r>
    </w:p>
    <w:p>
      <w:r>
        <w:t>Bellinzone, le 11 août 2016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Michel De Palma, avocat - Office fédéral de la justice, Unité extraditions</w:t>
      </w:r>
    </w:p>
    <w:p>
      <w:r>
        <w:t>Indication des voies de recours</w:t>
      </w:r>
    </w:p>
    <w:p>
      <w:r>
        <w:t>Les décisions préjudicielles et incidentes qui sont notifiées séparément et qui portent sur la compétence ou sur une demande de récusation peuvent faire l’objet d’un recours (art. 92 al. 1 LTF). Ces décisions ne peuvent plus être attaquées ultérieurement (art. 92 al. 2 LTF).</w:t>
      </w:r>
    </w:p>
    <w:p>
      <w:r>
        <w:t>En matière d’entraide pénale internationale, les autres décisions préjudicielles et incidentes notifiées séparément ne peuvent faire l’objet d’un recours. C’est sous réserve des décisions relatives à la détention extraditionnelle ou à la saisie d’objets et de valeurs, si elles peuvent causer un préjudice irréparable ou si l’admission du recours peut conduire immédiatement à une décision finale qui permet d’éviter une procédure probatoire longue et coûteuse (cf. art. 93 al. 1 et 2 LTF). Si le recours contre les décisions préjudicielles et incidentes n’est pas ouvert au sens de l’art. 93 al. 1 et 2 LTF ou qu’il n’est pas utilisé, ces décisions peuvent être attaquées par un recours contre la décision finale dans la mesure où elles influent sur le contenu de celle-ci (cf. art. 93 al. 3 LTF).</w:t>
      </w:r>
    </w:p>
    <w:p>
      <w:r>
        <w:t>Le recours n’est recevable contre une décision rendue en matière d’entraide pénale internationale que s’il constitue un cas particulièrement important (cf. art. 84 al. 1 LTF).Un cas est particulièrement important notamment lorsqu’il y a des raisons de supposer que la procédure à l’étranger viole des principes fondamentaux ou comporte d’autres vices graves (art. 84 al. 2 LTF).</w:t>
      </w:r>
    </w:p>
    <w:p>
      <w:r>
        <w:t>Le recours doit être déposé devant le Tribunal fédéral dans les 10 jours qui suivent la notification de</w:t>
      </w:r>
    </w:p>
    <w:p>
      <w:r>
        <w:t>- 5 -</w:t>
      </w:r>
    </w:p>
    <w:p>
      <w:r>
        <w:t>l’expédition complète (cf. art. 100 al. 1 et 2 let.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