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RR.2016.160 vom 27. Februar 2017</w:t>
      </w:r>
    </w:p>
    <w:p>
      <w:r>
        <w:t>Bundesstrafgericht, 2017-02-27, DE</w:t>
      </w:r>
    </w:p>
    <w:p>
      <w:r>
        <w:rPr>
          <w:b/>
        </w:rPr>
        <w:t xml:space="preserve">Quelle: </w:t>
      </w:r>
      <w:r>
        <w:t>https://mcp.opencaselaw.ch/entscheid/bstger_RR.2016.160</w:t>
      </w:r>
    </w:p>
    <w:p>
      <w:r>
        <w:t>FR: TPF RR.2016.160 du 27 février 2017</w:t>
      </w:r>
    </w:p>
    <w:p>
      <w:r>
        <w:t>IT: TPF RR.2016.160 del 27 febbraio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 Schengen vom 14. Juni 1985 (Schengener Durchführungsübereinkommen,</w:t>
      </w:r>
    </w:p>
    <w:p>
      <w:r>
        <w:t>- 4 -</w:t>
      </w:r>
    </w:p>
    <w:p>
      <w:r>
        <w:t>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 hilfeangelegenheiten sind zudem die Bestimmungen des Bundesgesetzes vom 20. Dezember 1968 über das Verwaltungsverfahren (Verwaltungsver- 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Die Beschwerde wurde fristgerecht erhoben.</w:t>
      </w:r>
    </w:p>
    <w:p>
      <w:r>
        <w:rPr>
          <w:b/>
        </w:rPr>
        <w:t>E. 2.2.1</w:t>
      </w:r>
    </w:p>
    <w:p>
      <w:r>
        <w:t>Zur Beschwerdeführung ist berechtigt, wer persönlich und direkt von einer Rechtshilfemassnahme betroffen ist und ein schutzwürdiges Interesse an ih- rer Aufhebung oder Änderung hat (Art. 80h lit. b IRSG; BGE 137 IV 134 E. 5 mit Übersicht über die Rechtsprechung; ZIMMERMANN, La coopération judi- ciaire internationale en matière pénale, 4. Aufl., Bern 2014, N. 524 ff.). Als persönlich und direkt betroffen im Sinne der Art. 21 Abs. 3 und Art. 80h lit. b IRSG gelten namentlich der Kontoinhaber bei der Erhebung von Kontoinfor- mationen sowie der Eigentümer oder der Mieter bei Hausdurchsuchungen (Art. 9a lit. a und b IRSV).</w:t>
      </w:r>
    </w:p>
    <w:p>
      <w:r>
        <w:rPr>
          <w:b/>
        </w:rPr>
        <w:t>E. 2.2.2</w:t>
      </w:r>
    </w:p>
    <w:p>
      <w:r>
        <w:t>Der auf ein Rechtshilfeersuchen hin einvernommene Zeuge kann sich nur gegen die Weitergabe des Einvernahmeprotokolls zur Wehr setzen, soweit seine eigenen Aussagen auch ihn selbst betreffen oder soweit er sich auf ein Zeugnisverweigerungsrecht beruft (BGE 137 IV 134 E. 5.2.4 S. 139 m.w.H.;</w:t>
      </w:r>
    </w:p>
    <w:p>
      <w:r>
        <w:t>- 5 -</w:t>
      </w:r>
    </w:p>
    <w:p>
      <w:r>
        <w:t>Entscheide des Bundesstrafgerichts RR.2016.84 vom 20. September 2016, E. 2.6; RR.2015.103 vom 30. September 2015, E. 1.4.1). Demgegenüber kommt einem Dritten, selbst wenn er durch die protokollierten Aussagen per- sönlich berührt wird, grundsätzlich keine Beschwerdebefugnis zu (BGE 137 IV 134 E. 5.2.4 S. 139 mit Hinweis). Inhabern von Bankkonten wird diesfalls aber die Legitimation zur Beschwerde gegen die Übermittlung von Einver- nahmeprotokollen doch zugestanden, wenn und soweit diese Informationen enthalten, die einer Übermittlung von Unterlagen betreffend ein auf sie lau- tendes Konto gleichkommen (BGE 124 II 180 E. 2b S. 182 f.).</w:t>
      </w:r>
    </w:p>
    <w:p>
      <w:r>
        <w:rPr>
          <w:b/>
        </w:rPr>
        <w:t>E. 2.2.3</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(Entscheide des Bundesstrafgerichts RR.2016.84 vom 20. September 2016, E. 2.3; RR.2016.45 vom 22. Juli 2016, E. 3.1 in fine; MARANTELLI/HUBER, Praxis- kommentar, 2. Aufl., Zürich/Basel/Genf 2016, Art. 48 VwVG N. 5).</w:t>
      </w:r>
    </w:p>
    <w:p>
      <w:r>
        <w:rPr>
          <w:b/>
        </w:rPr>
        <w:t>E. 2.3.1</w:t>
      </w:r>
    </w:p>
    <w:p>
      <w:r>
        <w:t>Die A. AG ist Inhaberin des von der einen Schlussverfügung (act. 1.7) be- troffenen Kontos bei der Bank G. Sodann umfasst die andere Schlussverfü- gung Dokumente und Beweismittel, welche anlässlich der am Sitz der A. AG durchgeführten Hausdurchsuchung erhoben wurden (act. 1.6; Verfahrensak- ten, act. 26 [Lasche 5]). In diesem Umfang ist auf die Beschwerde der A. AG einzutreten.</w:t>
      </w:r>
    </w:p>
    <w:p>
      <w:r>
        <w:rPr>
          <w:b/>
        </w:rPr>
        <w:t>E. 2.3.2</w:t>
      </w:r>
    </w:p>
    <w:p>
      <w:r>
        <w:t>Die Legitimation von B. bzw. der C. AG ist insoweit zu bejahen, als sich die Schlussverfügung auf die Herausgabe von Dokumenten und Beweismitteln bezieht, welche anlässlich der am Wohnort von B. (act. 1.6; Verfahrensakten, act. 26 [Lasche 5]) bzw. am Sitz der C. AG (act. 1.6; Verfahrensakten, act. 26 [Lasche 12]) durchgeführten Hausdurchsuchungen erhoben wurden. Auf die Beschwerde von B. bzw. der C. AG ist jeweils im sie betreffenden Umfange einzutreten.</w:t>
      </w:r>
    </w:p>
    <w:p>
      <w:r>
        <w:rPr>
          <w:b/>
        </w:rPr>
        <w:t>E. 2.3.3</w:t>
      </w:r>
    </w:p>
    <w:p>
      <w:r>
        <w:t>Anlässlich der am Wohnort von D. durchgeführten Hausdurchsuchung wur- den keinerlei Unterlagen und Gegenstände sichergestellt (Verfahrensakten, act. 26 [Lasche 12]). Insofern ist D. durch die angefochtene Schlussverfü- gung persönlich und direkt gar nicht betroffen. Hinsichtlich des Protokolls seiner Einvernahme wird zudem nicht dargelegt, dass die von ihm verlangten Auskünfte ihn persönlich betreffen würden oder dass er sich auf ein Zeug- nisverweigerungsrecht berufe. Auf die Beschwerde von D. ist daher nicht einzutreten.</w:t>
      </w:r>
    </w:p>
    <w:p>
      <w:r>
        <w:t>- 6 -</w:t>
      </w:r>
    </w:p>
    <w:p>
      <w:r>
        <w:rPr>
          <w:b/>
        </w:rPr>
        <w:t>E. 2.3.4</w:t>
      </w:r>
    </w:p>
    <w:p>
      <w:r>
        <w:t>Bei der Durchsuchung der gemeinsam durch die A. AG und durch B. benutz- ten Räumlichkeiten wurden u. a. Unterlagen zu einem auf E. lautenden Bank- konto sichergestellt (act. 8.3). Diesbezüglich stellt sich die Frage, wer von den Genannten legitimiert ist, gegen die Herausgabe dieser Bankunterlagen Beschwerde zu erheben (act. 1, Rz. 8; act. 8, S. 2 f.). Hausdurchsuchung und Beschlagnahme der betreffenden Unterlagen erfolgten in den Räumlich- keiten der A. AG und von B. Diese sind von der Rechtshilfemassnahme per- sönlich und direkt betroffen. Da E. weder Eigentümerin noch Mieterin der durchsuchten Räumlichkeiten ist, fehlt es ihr diesbezüglich an der zur Be- schwerdeführung notwendigen Legitimation (BGE 137 IV 134 E. 6.2; TPF 2014 113 E. 3.2.2 S. 117 f.). Es trifft zwar zu, dass die Aufzählung der persönlich und direkt betroffenen Personen in Art. 9a IRSV keine abschlies- sende ist. Im Falle einer Hausdurchsuchung sind jedoch der Eigentümer oder der Mieter der Räumlichkeiten die einzigen zur Beschwerde legitimier- ten Personen. Das Wort «namentlich» in der Einleitung zu Art. 9a IRSV be- zieht sich auf die gesamte Auflistung der verschiedenen Personen in dieser Bestimmung und nicht auf die in lit. a, b und c dieser Bestimmung genannten Einzelfälle. Der Gesetzgeber wollte gerade für diese drei spezifischen Fälle die einzigen beschwerdelegitimierten Personen nennen und damit Rechtssi- cherheit sowie das Gebot der raschen Erledigung von Rechtshilfeverfahren fördern (Art. 17a IRSG; BUSSMANN, Basler Kommentar, Internationales Straf- recht, Basel 2015, Art. 80h IRSG N. 10 m.w.H.). Die ausführende Behörde soll leicht und rasch bestimmen können, welchen Personen sie ihre Verfü- gungen und Entscheide zustellen muss (Urteil des Bundesgerichts 1C_626/2015 vom 8. Dezember 2015, E. 1.4; vgl. zum Ganzen zuletzt den Entscheid des Bundesstrafgerichts RR.2016.277 vom 7. Februar 2017, E. 1.5.2). Auf die von E. erhobene Beschwerde ist nach dem Gesagten nicht einzutreten.</w:t>
      </w:r>
    </w:p>
    <w:p>
      <w:r>
        <w:rPr>
          <w:b/>
        </w:rPr>
        <w:t>E. 3.1</w:t>
      </w:r>
    </w:p>
    <w:p>
      <w:r>
        <w:t>Gemäss der im der angefochtenen Verfügung zu Grunde liegenden Rechts- hilfeersuchen enthaltenen Sachverhaltsdarstellung wird F. des Betrugs in ei- nem besonders schweren Fall (§ 263 des deutschen Strafgesetzbuchs) ver- dächtigt. Der Beschuldigte sei seit 2001 der anwaltliche Berater von H., dem Geschäftsführer der H. GmbH, und der einzelnen Gesellschaften des H.-Konzerns. In dieser Funktion habe er im Laufe des Jahres 2006 H. gera- ten, den H.-Konzern umzustrukturieren, insbesondere mit dem Ziel der Mini- mierung der privaten Haftungsrisiken von H. Dabei habe er H. bewusst wahr- heitswidrig vorgespiegelt, dass die A. AG über ein exklusives, geheimhal-</w:t>
      </w:r>
    </w:p>
    <w:p>
      <w:r>
        <w:t>- 7 -</w:t>
      </w:r>
    </w:p>
    <w:p>
      <w:r>
        <w:t>tungsbedürftiges und auf dem Finanzmarkt bislang unbekanntes Unterneh- menskonzept zur Durchführung einer solchen Umstrukturierung und Reka- pitalisierung des Konzerns verfüge. Tatsächlich sei dieses Konzept aller- dings bereits seit dem Jahr 2004 in Finanzkreisen allgemein bekannt gewe- sen und genutzt worden. Die (vermeintliche) Exklusivität des Unternehmens- konzepts sei insbesondere durch ausdrückliche Geheimhaltungsklauseln und Vereinbarungen zum Quellenschutz im «Gestaltungs-Konzeptionsver- trag» betont worden. Auch sei die A. AG eine reine Scheingesellschaft ohne tatsächliche Geschäftstätigkeit gewesen und durch den Beschuldigten selbst über dessen 20-jährigen Sohn B. als formalen Alleingesellschafter der A. AG kontrolliert worden. Die A. AG sei erst am 18./22. Dezember 2006 gegründet und ins Handelsregister eingetragen worden, also nach Abschluss des «Ge- staltungs-Konzeptionsvertrags». H. habe diesen Vertrag am 12. Dezem- ber 2006 täuschungs- und irrtumsbedingt im Namen der H. GmbH mit der A. AG geschlossen. Darin sei die H. GmbH zur Zahlung eines Honorars in Höhe von 4 % der im Rahmen der Umsetzung des Konzepts als Darlehens- mittel von Banken der H. GmbH zugeflossenen Beträge verpflichtet worden. Im Hinblick auf eine (angestrebte) Fremdfinanzierung in Höhe von EUR 85 Mio. sei insoweit durch den Vertrag eine Zahlungspflicht der Gesellschaft in der Höhe von EUR 3.4 Mio. begründet worden. Bereits durch den Vertrags- schluss sei ein Vermögensschaden der H. GmbH in dieser Höhe entstanden, da die H. GmbH einerseits zur Zahlung von EUR 3.4 Mio. verpflichtet worden sei, andererseits, weil sie im Hinblick auf die fehlende Exklusivität des auf dem Markt allgemein bekannten Unternehmenskonzepts keinen Anspruch auf eine äquivalente Gegenleistung erhalten habe. Dieser Schaden habe sich in der Folge dadurch manifestiert, dass H. auf Rechnung der A. AG vom 2. Januar 2007 und auf ausdrückliche mündliche Zahlungsaufforderung des Beschuldigten hin am 5. Januar 2007 die Zahlung des geforderten Betrags von EUR 3.4 Mio. durch die H. GmbH veranlasst habe. Die Umstrukturierung des H.-Konzerns sei letztlich völlig ohne Mitwirkung der A. AG durch Banken erfolgt. Der Beschuldigte habe den Betrag von EUR 3.4 Mio. durch die von ihm kontrollierte A. AG, vorgefasster Absicht entsprechend, dem eigenen Vermögen einverleibt (act. 1.8 = 8.10).</w:t>
      </w:r>
    </w:p>
    <w:p>
      <w:r>
        <w:rPr>
          <w:b/>
        </w:rPr>
        <w:t>E. 3.2</w:t>
      </w:r>
    </w:p>
    <w:p>
      <w:r>
        <w:t>Die Beschwerdeführer machen hierzu geltend, der geschilderte Sachverhalt enthalte offensichtliche Widersprüche. Einerseits sei nicht bereits durch den Vertragsschluss ein Vermögensschaden bei der H. GmbH eingetreten, da eine Zahlungsverpflichtung der H. GmbH gemäss Vertrag erst im Erfolgsfall bestanden habe. Andererseits bestehe der vertragliche Erfolg in der Auszah- lung der von Banken ausbezahlten Beträge zur Rekapitalisierung und nicht in der angeblichen Exklusivität des Konzepts. Die Exklusivität des Konzepts</w:t>
      </w:r>
    </w:p>
    <w:p>
      <w:r>
        <w:t>- 8 -</w:t>
      </w:r>
    </w:p>
    <w:p>
      <w:r>
        <w:t>sei keinesfalls Gegenstand der Vergütung gewesen (act. 1, Ziff. 34-45; act. 14, Ziff. 7-13).</w:t>
      </w:r>
    </w:p>
    <w:p>
      <w:r>
        <w:rPr>
          <w:b/>
        </w:rPr>
        <w:t>E. 3.3</w:t>
      </w:r>
    </w:p>
    <w:p>
      <w:r>
        <w:t>Gemäss Art. 14 EUeR müssen die Rechtshilfeersuchen insbesondere Anga- ben über den Gegenstand und den Grund des Ersuchens enthalten (Ziff. 1 lit. b). Ausserdem müssen sie in Fällen wie vorliegend die strafbare Hand- lung bezeichnen und eine kurze Darstellung des Sachverhalts enthalten (Ziff. 2). Art. 28 Abs. 2 und 3 IRSG und Art. 10 Abs. 2 IRSV stellen entspre- chende Voraussetzungen an das Rechtshilfeersuchen. Diese Angaben müs- sen der ersuchten Behörde die Prüfung erlauben, ob die doppelte Strafbar- keit gegeben ist (Art. 5 Ziff. 1 lit. a EUeR), ob die Handlungen, wegen denen um Rechtshilfe ersucht wird, nicht ein politisches oder fiskalisches Delikt dar- stellen (Art. 2 lit. a EUeR) und ob der Grundsatz der Verhältnismässigkeit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142 IV 250 E. 6.3; 136 IV 4 E. 4.1; 133 IV 76 E 2.2; TPF 2011 194 E. 2.1 S. 196).</w:t>
      </w:r>
    </w:p>
    <w:p>
      <w:r>
        <w:rPr>
          <w:b/>
        </w:rPr>
        <w:t>E. 3.4</w:t>
      </w:r>
    </w:p>
    <w:p>
      <w:r>
        <w:t>Die Sachverhaltsdarstellung im Rechtshilfeersuchen vermag den gesetzli- chen Anforderungen von Art. 14 EUeR bzw. Art. 28 Abs. 3 lit. a IRSG sowie der diesbezüglichen oben erwähnten Rechtsprechung (vgl. supra E. 3.3) zu genügen und ist weder mit offensichtlichen Fehlern noch mit Lücken oder Widersprüchen behaftet. Solche Mängel, die im Sinne der obigen Ausfüh- rungen die Sachverhaltsvorwürfe gemäss Rechtshilfeersuchen sofort ent- kräften würden, zeigen die Beschwerdeführer mit ihren Vorbringen nicht auf. In der Sachverhaltsdarstellung wird nicht dargetan, dass der «Gestaltungs- Konzeptionsvertrag» ausschliesslich aufgrund der Exklusivität abgeschlos- sen worden sei, wohl aber, dass die Exklusivität für den Vertragsschluss ein</w:t>
      </w:r>
    </w:p>
    <w:p>
      <w:r>
        <w:t>- 9 -</w:t>
      </w:r>
    </w:p>
    <w:p>
      <w:r>
        <w:t>mitentscheidender Faktor gewesen sei. Im Übrigen legen die Beschwerde- führer in der Beschwerde selbst dar, dass das Konzept nicht allgemein be- kannt gewesen sei (vgl. act. 1, Ziff. 48, S. 18). Aus dem Vertrag geht zudem hervor, dass die A. AG die Konzeption entwickelt habe (act. 1.9, Ziff. 1). Wes- halb der Sachverhalt in Bezug auf die Exklusivität (offensichtlich) wider- sprüchlich sein soll, ist deshalb nicht nachvollziehbar. Zu welchem Zeitpunkt der Schaden genau entstanden sein soll, ist vorliegend nicht abzuklären, wird doch hinreichend dargetan, dass die H. GmbH einen Betrag von EUR 3.4 Mio. an die A. AG überwiesen und damit eine Vermögensdisposi- tion vorgenommen habe, welche möglicherweise einen Schaden herbei- führte. Eine völlig widerspruchsfreie Darstellung des Sachverhalts seitens der um Rechtshilfe ersuchenden Behörde ist gerade nicht erforderlich.</w:t>
      </w:r>
    </w:p>
    <w:p>
      <w:r>
        <w:t>Somit ist die Beschwerdekammer an den im Ersuchen wiedergegebenen Sachverhalt gebunden. Er erlaubt die Überprüfung der doppelten Strafbar- keit.</w:t>
      </w:r>
    </w:p>
    <w:p>
      <w:r>
        <w:rPr>
          <w:b/>
        </w:rPr>
        <w:t>E. 4.1</w:t>
      </w:r>
    </w:p>
    <w:p>
      <w:r>
        <w:t>Die Beschwerdeführer bringen vor, es fehle am Erfordernis der beidseitigen Strafbarkeit. Insbesondere fehle es an den Erfordernissen der arglistigen Täuschung und des Vermögensschadens, womit eine Subsumtion des Sachverhalts unter den Tatbestand des Betrugs nicht möglich sei (act. 1, Rz. 46 ff. und 49 ff.).</w:t>
      </w:r>
    </w:p>
    <w:p>
      <w:r>
        <w:rPr>
          <w:b/>
        </w:rPr>
        <w:t>E. 4.2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175 E. 5.5; 132 II 81 E. 2.7.2 S. 90). Zu prüfen ist</w:t>
      </w:r>
    </w:p>
    <w:p>
      <w:r>
        <w:t>- 10 -</w:t>
      </w:r>
    </w:p>
    <w:p>
      <w:r>
        <w:t>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142 IV 175 E. 5.5; 132 II 81 E. 2.1 S. 84; 129 II 462 E. 4.6; TPF 2011 194 E. 2.1 S. 196). Es genügt, wenn der im Rechtshilfeer- 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4.3</w:t>
      </w:r>
    </w:p>
    <w:p>
      <w:r>
        <w:t>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(Art. 146 Abs. 1 StGB). Nach der Rechtsprechung des Bundes- gerichtes handelt arglistig, wer ein ganzes Lügengebäude errichtet oder sich besonderer Machenschaften oder Kniffe bedient. Arglist ist auch bei einfa- 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(BGE 142 IV 153 E. 2.2.2 S. 154 f.; 135 IV 76 E. 5.2 S. 81 f. m.w.H.; STRA- TENWERTH/JENNY/BOMMER, Schweizerisches Strafrecht, Besonderer Teil I: Straftaten gegen Individualinteressen, 7. Aufl., Bern 2010, S. 384 f. N. 18). Der praktisch bedeutsame Fall der mangelnden Überprüfbarkeit der einfa- chen Lüge findet sich regelmässig bei Täuschung über innere Tatsachen, v. a. dem Leistungswillen. Eine Unzumutbarkeit der Überprüfung liegt indes etwa vor, wenn der Täter eine besonders vertrauenserweckende Stellung hat (TRECHSEL/CRAMERI, Praxiskommentar, 2. Aufl., Zürich/St. Gallen 2013, Art. 146 StGB N. 9 f. m.w.H.).</w:t>
      </w:r>
    </w:p>
    <w:p>
      <w:r>
        <w:rPr>
          <w:b/>
        </w:rPr>
        <w:t>E. 4.4</w:t>
      </w:r>
    </w:p>
    <w:p>
      <w:r>
        <w:t>Dem Rechtshilfeersuchen ist zu entnehmen, dass der Beschuldigte H. irre- geführt habe, indem er diesem vorgespiegelt habe, die A. AG verfüge über ein exklusives Unternehmenskonzept zur Durchführung einer Umstrukturie- rung und Rekapitalisierung. Dieser Irrtum habe dazu geführt, dass H. im Na- men der H. GmbH den «Gestaltungs-Konzeptionsvertrag» mit der A. AG ab- geschlossen habe. In der Folge habe die H. GmbH die vereinbarten EUR 3.4 Mio. an die A. AG überwiesen. In diesem Umfang sei ihr ein Scha- den entstanden. Die Umstrukturierung des H.-Konzerns sei ohne Mitwirkung</w:t>
      </w:r>
    </w:p>
    <w:p>
      <w:r>
        <w:t>- 11 -</w:t>
      </w:r>
    </w:p>
    <w:p>
      <w:r>
        <w:t>der A. AG durch Banken erfolgt und die A. AG sei eine reine Scheingesell- schaft gewesen. Aufgrund des offenbaren Vertrauensverhältnisses des Be- schuldigten als langjähriger anwaltlicher Berater von H., der Gründung der A. AG erst nach Abschluss des Vertrages und der vermeintlichen Exklusivität des Konzepts im Vertrag mit ausdrücklichen Geheimhaltungsklauseln und Vereinbarungen zum Quellenschutz ist von einer arglistigen Täuschung aus- zugehen, da es sich gemäss Sachverhaltsdarstellung weder um eine einfa- che, leicht durchschaubare Lüge des Beschuldigten handelte, noch für H. ohne Weiteres möglich war, die Angaben zu überprüfen, ohne die vertragli- chen Geheimhaltungsklauseln zu verletzen. Dem Vorbringen der Beschwer- deführer, dass sich H. mit einer Erkundigung bei den finanzierenden Banken vor der Vermögensdisposition hätte schützen können (act. 1, Ziff. 48, S. 18), ist deshalb nicht zu folgen. Eine offensichtliche, die Arglist ausschliessende Opfermitverantwortung fällt somit ausser Betracht. Soweit die Beschwerde- führer zudem geltend machen, dass zum Umsetzungsprozess des Konzepts auch eine Due Diligence durch eine unabhängige Prüfungsgesellschaft ge- hört habe und diese Prüfungsgesellschaft wohl darauf hingewiesen hätte, wenn das Konzept allgemein bekannt gewesen wäre (act. 1, Ziff. 48, S. 18), sind sie nicht zu hören, da sich dieses Vorbringen auf eine abweichende eigene Darstellung des Sachverhalts beschränkt. Dasselbe gilt für die Be- hauptung der Beschwerdeführer, dass bei der H. GmbH kein Schaden ein- getreten sei, da diese nur im Erfolgsfall zur Entrichtung des Honorars ver- pflichtet gewesen sei (act. 1, Ziff. 49-51). Der Sachverhalt im Rechtshilfeer- suchen lässt sich damit unter den Tatbestand des Art. 146 StGB subsumie- ren.</w:t>
      </w:r>
    </w:p>
    <w:p>
      <w:r>
        <w:t>Die Rechtshilfevoraussetzung der doppelten Strafbarkeit ist gegeben und die entsprechende Rüge der Beschwerdeführer geht fehl.</w:t>
      </w:r>
    </w:p>
    <w:p>
      <w:r>
        <w:rPr>
          <w:b/>
        </w:rPr>
        <w:t>E. 5</w:t>
      </w:r>
    </w:p>
    <w:p>
      <w:r>
        <w:t>Aus der deutschen Einstellungsverfügung vom 5. Mai 2015 (act. 1.10) kön- nen die Beschwerdeführer nichts zu ihren Gunsten ableiten (vgl. act. 1, Ziff. 31-33; act. 14, Ziff. 3-6), wurde das Verfahren doch ohnehin offenbar wieder aufgenommen und Anklage erhoben (Verfahrensakten, act. 53). Die ersuchte Behörde hat sich nicht zu den nach Eingang des Rechtshilfeersu- chens im ersuchenden Staat ergangenen Entscheiden zu äussern. Da das Rechtshilfeersuchen nicht zurückgezogen wurde, ist es zu vollziehen, so- weit die weiteren Rechtshilfevoraussetzungen gegeben sind (vgl. dazu ausführlich den Entscheid des Bundesstrafgerichts RR.2013.116 vom 29. August 2013, E. 7.2 m.w.H.).</w:t>
      </w:r>
    </w:p>
    <w:p>
      <w:r>
        <w:t>- 12 -</w:t>
      </w:r>
    </w:p>
    <w:p>
      <w:r>
        <w:rPr>
          <w:b/>
        </w:rPr>
        <w:t>E. 6.1</w:t>
      </w:r>
    </w:p>
    <w:p>
      <w:r>
        <w:t>Die Beschwerdeführer machen sodann in verschiedener Hinsicht eine Ver- letzung des Verhältnismässigkeitsprinzips geltend. So solle die Rechtshilfe dazu dienen, einen bisher nicht hinreichenden Tatverdacht zu begründen (act. 1, Ziff. 31-33); es handle sich um eine unzulässige Beweisausfor- schung, eine «fishing expedition», denn am 5. Mai 2015 sei in der Einstel- lungsverfügung der Staatsanwaltschaft Karlsruhe festgehalten worden, dass es ohne die Beweismittel aus der Schweiz an einem hinreichenden Tatver- dacht fehle (act. 14, Ziff. 3-6). Weiter sei nicht ersichtlich, inwiefern die Un- terlagen, welche E. betreffen sollen, für das ausländische Verfahren erheb- lich sein sollen (act. 1, Ziff. 56). Zudem seien sämtliche Unterlagen ausser die in den Schlussverfügungen unter Ziff. 15, 22 und 26 genannten, nicht relevant für das ausländische Strafverfahren, da die Aktivitäten der A. AG B. zuzurechnen seien (act. 1, Ziff. 57-60).</w:t>
      </w:r>
    </w:p>
    <w:p>
      <w:r>
        <w:rPr>
          <w:b/>
        </w:rPr>
        <w:t>E. 6.2</w:t>
      </w:r>
    </w:p>
    <w:p>
      <w:r>
        <w:t>Rechtshilfemassnahmen haben generell dem Prinzip der Verhältnismässig- keit zu genügen (ZIMMERMANN, a.a.O., N. 717 ff., mit Verweisen auf die Rechtsprechung;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136 IV 82 E. 4.4 S. 86; 134 II 318 E. 6.4; 128 II 407 E. 6.3.1 S. 423; TPF 2009 161 E. 5.1 S. 163 m.w.H.). Hierbei ist auch zu beachten, dass für das ausländische Strafverfahren nicht nur belastende, sondern auch</w:t>
      </w:r>
    </w:p>
    <w:p>
      <w:r>
        <w:t>- 13 -</w:t>
      </w:r>
    </w:p>
    <w:p>
      <w:r>
        <w:t>entlastende Beweismittel von Bedeutung sein können, um einen bestehen- 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In Anbetracht des im Rechtshilfeersuchen umschriebenen, für den Rechts- hilferichter bindenden Sachverhalts, ist die potentielle Erheblichkeit der er- suchten Unterlagen für das deutsche Strafverfahren augenscheinlich: Aus- gehändigt werden sollen die anlässlich der Hausdurchsuchungen beschlag- nahmten Unterlagen, welche in einem direkten Zusammenhang mit der A. AG und damit dem Delikt, das dem Beschuldigten vorgeworfen wird, stehen. Diese Unterlagen zeigen Geldflüsse und Stand des Vermögens der A. AG auf und lassen Rückschlüsse über deren Geschäftstätigkeit zu. Dabei ge- nügt vorliegend jedweder Zusammenhang mit der A. AG, da einerseits eine angebliche Scheintätigkeit der Gesellschaft Beweisthema des deutschen Strafverfahrens ist und andererseits die Behörde des ausländischen Staats grundsätzlich ohnehin über alle Transaktionen zu informieren ist, welche mit der A. AG in Zusammenhang stehen. Dasselbe gilt für die bei der Bank G. edierten Bankunterlagen sowie für die Kontounterlagen der E. Aufgrund des Fundorts ist auch dort eine potentielle Erheblichkeit im deutschen Strafver- fahren nicht völlig ausgeschlossen. Von einer «fishing expedition» kann keine Rede sein. Wie bereits ausgeführt besteht gemäss Darlegung des Sachverhalts im Rechtshilfeersuchen ein genügender Verdacht auf eine strafbare Handlung und zumindest teilweise wird die Beweisrelevanz von den Beschwerdeführern auch gar nicht bestritten (vgl. act. 1, Ziff. 57 f.). In- wiefern die verlangten Unterlagen mit der verfolgten Straftat in keinem Zu- sammenhang stehen und offensichtlich ungeeignet sein sollen, wird nicht näher dargelegt. Nicht nachvollziehbar ist weiter, weshalb die Beschwerde- führer aus dem Umstand, dass die Aktivitäten der A. AG B. zuzurechnen seien, ableiten, dass ihn betreffende Unterlagen im ausländischen Verfahren</w:t>
      </w:r>
    </w:p>
    <w:p>
      <w:r>
        <w:t>- 14 -</w:t>
      </w:r>
    </w:p>
    <w:p>
      <w:r>
        <w:t>nicht beweisrelevant sein sollen (act. 1, Ziff. 60). Eine Verletzung des Ver- hältnismässigkeitsprinzips ist nicht auszumachen. Diese Rüge geht folglich fehl.</w:t>
      </w:r>
    </w:p>
    <w:p>
      <w:r>
        <w:rPr>
          <w:b/>
        </w:rPr>
        <w:t>E. 7</w:t>
      </w:r>
    </w:p>
    <w:p>
      <w:r>
        <w:t>Die Beschwerde erweist sich nach dem Gesagten in all ihren Punkten als unbegründet. Andere Hindernisse, welche der zu gewährenden Rechtshilfe entgegenstehen würden, sind nicht ersichtlich. Die Beschwerde ist daher ab- zuweisen, soweit auf sie überhaupt einzutreten ist.</w:t>
      </w:r>
    </w:p>
    <w:p>
      <w:r>
        <w:rPr>
          <w:b/>
        </w:rPr>
        <w:t>E. 8</w:t>
      </w:r>
    </w:p>
    <w:p>
      <w:r>
        <w:t>Bei diesem Ausgang des Verfahrens sind die Gerichtskosten den unterlie- genden Beschwerdeführern aufzuerlegen (Art. 63 Abs. 1 VwVG). Die Ge- richtsgebühr ist auf Fr. 5'000.–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derselben Höhe (act. 4).</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