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RR.2016.150 vom 13. Dezember 2016</w:t>
      </w:r>
    </w:p>
    <w:p>
      <w:r>
        <w:t>Bundesstrafgericht, 2016-12-13, DE</w:t>
      </w:r>
    </w:p>
    <w:p>
      <w:r>
        <w:rPr>
          <w:b/>
        </w:rPr>
        <w:t xml:space="preserve">Quelle: </w:t>
      </w:r>
      <w:r>
        <w:t>https://mcp.opencaselaw.ch/entscheid/bstger_RR.2016.150</w:t>
      </w:r>
    </w:p>
    <w:p>
      <w:r>
        <w:t>FR: TPF RR.2016.150 du 13 décembre 2016</w:t>
      </w:r>
    </w:p>
    <w:p>
      <w:r>
        <w:t>IT: TPF RR.2016.150 del 13 dicembre 2016</w:t>
      </w:r>
    </w:p>
    <w:p>
      <w:pPr>
        <w:pStyle w:val="Heading2"/>
      </w:pPr>
      <w:r>
        <w:t>Regeste</w:t>
      </w:r>
    </w:p>
    <w:p>
      <w:r>
        <w:t>Auslieferung aus Kroatien. Auslieferungsentscheid (Art. 55 IRSG). Nachtragsersuchen.</w:t>
      </w:r>
    </w:p>
    <w:p>
      <w:pPr>
        <w:pStyle w:val="Heading2"/>
      </w:pPr>
      <w:r>
        <w:t>Erwägungen</w:t>
      </w:r>
    </w:p>
    <w:p>
      <w:r>
        <w:rPr>
          <w:b/>
        </w:rPr>
        <w:t>E. 1</w:t>
      </w:r>
    </w:p>
    <w:p>
      <w:r>
        <w:t>Für den Auslieferungsverkehr zwischen der Schweiz und Kroatien sind pri- mär das EAUe sowie das zu diesem Übereinkommen am 15. Oktober 1975 ergangene erste Zusatzprotokoll (1. ZP; SR 0.353.11) und das am 17. März 1978 ergangene zweite Zusatzprotokoll (2. ZP; SR 0.353.12) massgebend.</w:t>
      </w:r>
    </w:p>
    <w:p>
      <w:r>
        <w:t>Soweit diese Staatsverträge bestimmte Fragen nicht abschliessend regeln, findet auf das Verfahren der Auslieferung ausschliesslich das Recht des er- suchten Staates Anwendung (Art. 22 EAUe), vorliegend also das Bundesge- setz über internationale Rechtshilfe in Strafsachen vom 20. März 1981 (Rechtshilfegesetz, IRSG; SR 351.1) und die dazugehörige Verordnung vom 24. Februar 1982 (Rechtshilfeverordnung, IRSV; SR 351.11). Das inner- staatliche Recht gelangt nach dem Günstigkeitsprinzip auch dann zur An- wendung, wenn dieses geringere Anforderungen an die Auslieferung stellt (BGE 140 IV 123 E. 2; 137 IV 33 E. 2.2.2 S. 40 f.; 136 IV 82 E. 3.1; 122 II 140 E. 2 S. 142). Vorbehalten bleibt die Wahrung der Menschenrechte (BGE 135 IV 212 E. 2.3; 123 II 595 E. 7c S. 616; TPF 2008 24 E. 1.1 S. 26).</w:t>
      </w:r>
    </w:p>
    <w:p>
      <w:r>
        <w:t>- 4 -</w:t>
      </w:r>
    </w:p>
    <w:p>
      <w:r>
        <w:t>Auf Beschwerdeverfahren in internationalen Rechtshilfeangelegenheiten sind darüber hinaus die Bestimmungen des Bundesgesetzes vom 20. De- zember 1968 über das Verwaltungsverfahren (Verwaltungsverfahrensge- setz, VwVG; SR172.021) anwendbar (Art. 37 Abs. 2 lit. a i.V.m. Art. 39 Abs. 2 lit. b des Bundesgesetzes vom 19. März 2010 über die Organisation der Strafbehörden des Bundes [Strafbehördenorganisationsgesetz, StBOG; SR 173.71]).</w:t>
      </w:r>
    </w:p>
    <w:p>
      <w:r>
        <w:rPr>
          <w:b/>
        </w:rPr>
        <w:t>E. 2</w:t>
      </w:r>
    </w:p>
    <w:p>
      <w:r>
        <w:t>Gegen Auslieferungsentscheide des Bundesamtes kann innert 30 Tagen seit der Eröffnung des Entscheides bei der Beschwerdekammer des Bun- desstrafgerichts Beschwerde geführt werden (Art. 55 Abs. 3 i.V.m. Art. 25 Abs. 1 IRSG; Art. 37 Abs. 2 lit. a Ziff. 1 StBOG; SR 173.71, Art. 19 Abs. 1 des Organisationsreglements vom 31. August 2010 für das Bundesstrafge- richt [BStGerOR; SR 173.713.161]).</w:t>
      </w:r>
    </w:p>
    <w:p>
      <w:r>
        <w:t>Die Eingabe vom 25. Juli 2016 ging am 29. Juli 2016 beim hiesigen Gericht ein. Der Entscheid wurde dem Beschwerdeführer am 8. Juli 2016 eröffnet (act. 5.7). Die allfällige Beschwerde wurde mithin fristgerecht eingereicht.</w:t>
      </w:r>
    </w:p>
    <w:p>
      <w:r>
        <w:rPr>
          <w:b/>
        </w:rPr>
        <w:t>E. 3</w:t>
      </w:r>
    </w:p>
    <w:p>
      <w:r>
        <w:t>Gemäss Art. 33a Abs. 1 VwVG wird das Verfahren in einer der vier Amts- sprachen (Deutsch, Französisch, Italienisch und Rätoromanisch) geführt. Im Beschwerdeverfahren ist die Sprache des angefochtenen Entscheids mass- gebend, wobei das Verfahren auch in einer anderen Amtssprache geführt werden kann, wenn die Parteien diese verwenden (Art. 33a Abs. 2 VwVG).</w:t>
      </w:r>
    </w:p>
    <w:p>
      <w:r>
        <w:t>Die Eingabe des Beschwerdeführers vom 25. Juli 2016 ist nicht in einer Amtssprache verfasst. Der Aufforderung, diese in einer Amtssprache einzu- reichen sowie einen Kostenvorschuss zu leisten, ist der Beschwerdeführer nicht nachgekommen. Daher ist androhungsgemäss auf die Beschwerde nicht einzutreten.</w:t>
      </w:r>
    </w:p>
    <w:p>
      <w:r>
        <w:rPr>
          <w:b/>
        </w:rPr>
        <w:t>E. 4</w:t>
      </w:r>
    </w:p>
    <w:p>
      <w:r>
        <w:t>Bei diesem Ausgang des Verfahrens wird der Beschwerdeführer kosten- pflichtig (Art. 63 Abs. 1 VwVG i.V.m. Art. 39 Abs. 2 lit. b StBOG). Es recht- fertigt sich hingegen vorliegend, auf die Erhebung einer Gerichtsgebühr zu verzichten (Art. 39 Abs. 2 lit. b StBOG i.V.m. Art. 63 Abs. 1 Satz 3 VwVG).</w:t>
      </w:r>
    </w:p>
    <w:p>
      <w:r>
        <w:t>- 5 -</w:t>
      </w:r>
    </w:p>
    <w:p>
      <w:r>
        <w:rPr>
          <w:b/>
        </w:rPr>
        <w:t>E. 5</w:t>
      </w:r>
    </w:p>
    <w:p>
      <w:r>
        <w:t>Da der Beschwerdeführer auch der Aufforderung zur Bezeichnung eines Zu- stelldomizils in der Schweiz nicht nachgekommen ist, wird dieser Entscheid ihm androhungsgemäss nicht formell zugestellt und erfolgt die Zustellung anstelle dessen ad acta.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