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RR.2016.149 vom 15. November 2016</w:t>
      </w:r>
    </w:p>
    <w:p>
      <w:r>
        <w:t>Bundesstrafgericht, 2016-11-15, IT</w:t>
      </w:r>
    </w:p>
    <w:p>
      <w:r>
        <w:rPr>
          <w:b/>
        </w:rPr>
        <w:t xml:space="preserve">Quelle: </w:t>
      </w:r>
      <w:r>
        <w:t>https://mcp.opencaselaw.ch/entscheid/bstger_RR.2016.149</w:t>
      </w:r>
    </w:p>
    <w:p>
      <w:r>
        <w:t>FR: TPF RR.2016.149 du 15 novembre 2016</w:t>
      </w:r>
    </w:p>
    <w:p>
      <w:r>
        <w:t>IT: TPF RR.2016.149 del 15 novembre 2016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w:t>
      </w:r>
    </w:p>
    <w:p>
      <w:r>
        <w:t>- 5 -</w:t>
      </w:r>
    </w:p>
    <w:p>
      <w:r>
        <w:t>ternazionale in materia penale del 20 marzo 1981 (AIMP; RS 351.1), unita- 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1.4</w:t>
      </w:r>
    </w:p>
    <w:p>
      <w:r>
        <w:t>Interposto tempestivamente contro la sopraccitata decisione di chiusura, il ri- corso è ricevibile sotto il profilo degli art. 25 cpv. 1, 80e cpv. 1 e 80k AIMP. Destinataria dell’ordine di perquisizione e sequestro, effettuati presso i suoi uf- fici, la A. SAGL, detentrice sulla base di mandato fiduciario della documenta- zione litigiosa relativa alle società C. Ltd, D. Ltd, K. Ltd e L. LLC, è legittimata a ricorrere (v. art. 9a lett. b OAIMP nonché DTF 137 IV 134 consid. 6.2 e sentenza del Tribunale federale 1C_528/2014 del 21 novembre 2014, consid. 1.3).</w:t>
      </w:r>
    </w:p>
    <w:p>
      <w:r>
        <w:rPr>
          <w:b/>
        </w:rPr>
        <w:t>E. 1.5</w:t>
      </w:r>
    </w:p>
    <w:p>
      <w:r>
        <w:t>pag. 2 e 3, act. 1.6; v. anche act. 1 pag. 7). Con complemento rogatoriale del 29 settembre 2015, l’autorità estera ha pure evidenziato l’esistenza di rap- porti tra B. a l’amministratore della società M. Spa, la quale avrebbe a sua volta intrattenuto relazioni commerciali con la C. Ltd negli anni dal 2007 al 2012, come pure con E. Ltd per l’anno 2013; in entrambi i casi, la somma che sarebbe stata corrisposta da M. Spa per la sponsorizzazione del marchio aziendale da parte delle due summenzionate società secondo gli accordi contrattuali, non corrisponde manifestamente a quanto accertato dalle indagini (v. act. 1.6).</w:t>
      </w:r>
    </w:p>
    <w:p>
      <w:r>
        <w:t>Alla luce di ciò, ritenuta la natura dei reati oggetto di indagine in Italia, sotto il profilo temporale, i documenti sequestrati dall’autorità elvetica sono potenzial- mente utili per l’inchiesta estera. Le relative censure del ricorrente vanno quindi respinte.</w:t>
      </w:r>
    </w:p>
    <w:p>
      <w:r>
        <w:rPr>
          <w:b/>
        </w:rPr>
        <w:t>E. 2</w:t>
      </w:r>
    </w:p>
    <w:p>
      <w:r>
        <w:t>Occorre innanzitutto rilevare che con comunicazione del 13 settembre 2016 la ricorrente ha indicato di non opporsi alla trasmissione all’autorità estera della documentazione estrapolata dal raccoglitore “E. Ltd” di cui alla sezione 1, e parte di quella di cui alla sezione 3 (act. 14). Ne discende che, per tali docu- menti, il ricorso è da considerarsi ritirato. Detti atti potranno pertanto essere trasmessi all’autorità estera.</w:t>
      </w:r>
    </w:p>
    <w:p>
      <w:r>
        <w:rPr>
          <w:b/>
        </w:rPr>
        <w:t>E. 3.1</w:t>
      </w:r>
    </w:p>
    <w:p>
      <w:r>
        <w:t>L’insorgente si duole innanzitutto dell’ampiezza del sequestro, che si sarebbe esteso ad un periodo temporale non incluso nelle richieste dell’autorità estera. Dalla rogatoria e dagli atti a cui essa fa riferimento risulterebbe che per le so- cietà D. Ltd e C. Ltd gli atti di interesse si limitano, per quanto attiene alla docu- mentazione bancaria, contabile e societaria, agli anni 2011 e 2012, mentre, per i contratti attivi e passivi, all’anno 2012 (v. act. 1 pag. 3).</w:t>
      </w:r>
    </w:p>
    <w:p>
      <w:r>
        <w:t>A mente del MP-TI, la trasmissione dell’intera documentazione reperita, inclusa quella relativa agli anni dal 2007 in poi, sarebbe invece giustificata segnata- mente alla luce del principio dell’utilità potenziale (v. act. 1.3 pag. 6 e seg.).</w:t>
      </w:r>
    </w:p>
    <w:p>
      <w:r>
        <w:t>- 6 -</w:t>
      </w:r>
    </w:p>
    <w:p>
      <w:r>
        <w:rPr>
          <w:b/>
        </w:rPr>
        <w:t>E. 3.2</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 sid. 3.1; RR.2007.18 del 21 maggio 2007, consid. 6.3) o se la domanda appaia abusiva, le informazioni richieste essendo del tutto inidonee a far progredire le indagini (DTF 122 II 134 consid. 7b; 121 II 241 consid. 3a). Inoltre, da consoli- data prassi, quando le autorità estere chiedono informazioni su conti bancari nell'ambito di procedimenti per reati come quelli qui in esame, esse necessitano di regola di tutti i relativi documenti, perché debbono poter individuare il titolare giuridico ed economico dei conti utilizzati per scopi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L’autorità d’esecuzione deve interpretare la richiesta se- condo il senso che le può essere ragionevolmente attribuito. A tale proposito, nulla si oppone ad un’interpretazione estesa della richiesta, a condizione che tutti i requisiti per l’accoglimento della domanda siano adempiuti. La natura stessa di dette inchieste rende inoltre verosimile la necessità di acquisire l'inte- gralità della documentazione, in modo tale da chiarire con sufficiente ampiezza diacronica l'origine e la destinazione dei flussi monetari sospetti. La trasmis- sione dell'intera documentazione potrà evitare altresì l'inoltro di eventuali do- mande complementari (DTF 136 IV 82 consid. 4.1; 121 II 241 consid. 3; sen- tenza del Tribunale federale 1C_486/2008 dell'11 novembre 2008, consid. 2.4). Si tratta di una maniera di procedere necessaria, se del caso, ad accertare an- 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 cedimento penale all'estero (DTF 126 II 258 consid. 9c; 122 II 367 consid. 2c; 121 II 241 consid. 3a e b). Vietata in particolare è la cosiddetta fishing expedi- tion, la quale è definita dalla giurisprudenza una ricerca generale ed indetermi- nata di mezzi di prova volta a fondare un sospetto senza che esistano pregressi</w:t>
      </w:r>
    </w:p>
    <w:p>
      <w:r>
        <w:t>- 7 -</w:t>
      </w:r>
    </w:p>
    <w:p>
      <w:r>
        <w:t>elementi concreti a sostegno dello stesso (DTF 125 II 65 consid. 6b/aa pag. 73 e rinvii). Questo modo di procedere non è consentito in ambito di assistenza internazionale sia alla luce del principio della specialità che di quello della pro- porzionalità. Tale divieto si fonda semplicemente sul fatto che è inammissibile procedere a casaccio nella raccolta delle prove (DTF 113 Ib 257 consid. 5c).</w:t>
      </w:r>
    </w:p>
    <w:p>
      <w:r>
        <w:rPr>
          <w:b/>
        </w:rPr>
        <w:t>E. 3.3</w:t>
      </w:r>
    </w:p>
    <w:p>
      <w:r>
        <w:t>Nel caso concreto, dagli atti risulta che le indagini italiane concernono un con- testo di casi sospetti di riciclaggio, frodi fiscali e false fatturazioni ad opera di soggetti italiani, nel periodo dal 2007 al 2013, per il tramite segnatamente delle società C. Ltd, D. Ltd e E. Ltd. Gli importi di denaro confluiti sui conti delle pre- dette società sarebbero poi stati bonificati in favore di relazioni bancarie inte- state a società di diritto panamense verosimilmente riconducibili a B., e meglio la F. Inc., G., H. e J., per poi essere nuovamente ritornati, tramite prelevamenti a contanti e/o bonifici bancari, nelle disponibilità di soggetti italiani indagati. Ri- sulterebbe inoltre che le società coinvolte nelle indagini avrebbero fatto riferi- mento a fiduciarie di diritto svizzero, tra cui la ricorrente (act. 1.3 pag. 1 e 2, act.</w:t>
      </w:r>
    </w:p>
    <w:p>
      <w:r>
        <w:rPr>
          <w:b/>
        </w:rPr>
        <w:t>E. 3.4</w:t>
      </w:r>
    </w:p>
    <w:p>
      <w:r>
        <w:t>Nulla toglie alla precedente conclusione un secondo ordine di censure della ri- corrente in relazione al nesso di parte della documentazione con la persona indagata (v. act. 1 pag. 8 e segg.). Certo, come sottolineato dalla ricorrente, la società L. LLC e la società K. Ltd non risultano oggetto di indagine in Italia, né sono menzionate nella rogatoria e nei relativi complementi (act. 1.5-1.7). Dagli atti emerge però che l’autorità rogante ha manifestato, in sede di cernita, il suo interesse a proposito della documentazione relativa ad entrambe le società (v. act. 1.13 pag. 2 e 5, act. 1.3 pag. 7, act. 8 pag. 2).</w:t>
      </w:r>
    </w:p>
    <w:p>
      <w:r>
        <w:rPr>
          <w:b/>
        </w:rPr>
        <w:t>E. 3.4.1</w:t>
      </w:r>
    </w:p>
    <w:p>
      <w:r>
        <w:t>In merito alla posizione di L. LLC, non è contestato che i flussi finanziari che hanno interessato il conto di questa società rientrino nel periodo di indagine, né è contestato che nel 2013, dal conto ad essa intestato, siano stati effettuati degli accrediti in favore della relazione riconducibile ad D. Ltd (v. act. 1 pag. 9). Agli</w:t>
      </w:r>
    </w:p>
    <w:p>
      <w:r>
        <w:t>- 8 -</w:t>
      </w:r>
    </w:p>
    <w:p>
      <w:r>
        <w:t>atti risultano pure un contratto tra D. Ltd e L. LLC del 6 giugno 2011, come pure della corrispondenza tra le due società datata 30 giugno 2011 e 23 maggio 2013, relativa ad obblighi di confidenzialità, ad un mandato di consulenza ed al pagamento delle prestazioni effettuate (v. act. 1.16-1.18). Ora, indipendente- mente dal campo di attività di tali accordi, dalla sede geografica di L. LLC, dal genere ed importanza economica dell’operazione concordata tra le due società, dalle motivazioni per le quali sarebbe stata scelta la società D. Ltd quale partner contrattuale di L. LLC, quello che conta è l’esistenza di accordi e flussi finanziari tra di esse, circostanza che già di per sé implica una rilevanza della documen- tazione in oggetto per il procedimento estero. Anche da questo punto di vista, la decisione di trasmissione rispetta dunque il principio della proporzionalità e non costituisce un'inammissibile fishing expedition.</w:t>
      </w:r>
    </w:p>
    <w:p>
      <w:r>
        <w:rPr>
          <w:b/>
        </w:rPr>
        <w:t>E. 3.4.2</w:t>
      </w:r>
    </w:p>
    <w:p>
      <w:r>
        <w:t>Dall’analisi della documentazione agli atti si arriva alla stessa conclusione per quanto riguarda la società K. Ltd, anche se certo l’interesse è stato manifestato in maniera generica dai funzionari italiani, una volta visionata la documenta- zione (v. act. 1.13 pag. 2), e la decisione impugnata non approfondisce in ma- niera particolare la questione, offrendo comunque sufficienti appigli, sotto il pro- filo dell’obbligo di motivazione ex art. 29 cpv. 2 Cost. (v. DTF 121 I 54 consid. 2; 117 Ib 481 consid. 6b/bb, nonché più ampiamente MICHELE ALBERTINI, Der verfassungsmässige Anspruch auf rechtliches Gehör im Verwaltungsverfahren des modernen Staates, tesi di laurea, Berna 2000, pag. 400 e segg., con altri rinvii giurisprudenziali), per comprendere le ragioni che hanno indotto l’autorità precedente ad ammettere la sua utilità potenziale. Il bilancio della società in questione si trova infatti, come indicato nella stessa decisione impugnata, nel classificatore “C. Ltd., IVA, Corrispondenze, Chiusure – 2011” e più precisa- mente alla voce “Bilanci”. Già questo fatto è indicativo della rilevanza contabile della documentazione della K. Ltd per rapporto alla C. Ltd. Il bilancio della K. Ltd è altresì custodito in una mappetta di plastica, con una tabella riassuntiva frontale, titolata “C. LTD – Sub account Partnership Agreement”, sulla cui co- lonna “Partner” vengono indicate le società F. Inc. e J., per di più con una per- fetta corrispondenza fra “Total Assets” (EUR 14'700.91) e “Liability” (EUR 7'136'364.09) della K. Ltd e i dati contenuti nella sopraccitata tabella rias- suntiva, la quale concerne proprio società coinvolte nell’inchiesta estera. A fronte di un simile intreccio contabile fra queste società non è possibile negare l’utilità potenziale anche di questa documentazione.</w:t>
      </w:r>
    </w:p>
    <w:p>
      <w:r>
        <w:rPr>
          <w:b/>
        </w:rPr>
        <w:t>E. 3.5</w:t>
      </w:r>
    </w:p>
    <w:p>
      <w:r>
        <w:t>Concludendo le predette censure vanno a loro volta respinte per cui la ricorrente risulta integralmente soccombente.</w:t>
      </w:r>
    </w:p>
    <w:p>
      <w:r>
        <w:rPr>
          <w:b/>
        </w:rPr>
        <w:t>E. 4</w:t>
      </w:r>
    </w:p>
    <w:p>
      <w:r>
        <w:t>Le spese seguono la soccombenza (v. art. 63 PA). La tassa di giustizia è cal- colata giusta gli art. 73 cpv. 2 LOAP, 63 cpv. 4bis lett. b PA, nonché 5 e 8 cpv. 3</w:t>
      </w:r>
    </w:p>
    <w:p>
      <w:r>
        <w:t>- 9 -</w:t>
      </w:r>
    </w:p>
    <w:p>
      <w:r>
        <w:t>lett. b del regolamento del 31 agosto 2010 sulle spese, gli emolumenti, le ripe- tibili e le indennità della procedura penale federale (RSPPF; RS 173.713.162), ed è fissata nella fattispecie a fr. 5'000.--, a carico della ricorrente.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