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RR.2016.147 vom 30. Januar 2017</w:t>
      </w:r>
    </w:p>
    <w:p>
      <w:r>
        <w:t>Bundesstrafgericht, 2017-01-30, DE</w:t>
      </w:r>
    </w:p>
    <w:p>
      <w:r>
        <w:rPr>
          <w:b/>
        </w:rPr>
        <w:t xml:space="preserve">Quelle: </w:t>
      </w:r>
      <w:r>
        <w:t>https://mcp.opencaselaw.ch/entscheid/bstger_RR.2016.147</w:t>
      </w:r>
    </w:p>
    <w:p>
      <w:r>
        <w:t>FR: TPF RR.2016.147 du 30 janvier 2017</w:t>
      </w:r>
    </w:p>
    <w:p>
      <w:r>
        <w:t>IT: TPF RR.2016.147 del 30 gennaio 2017</w:t>
      </w:r>
    </w:p>
    <w:p>
      <w:pPr>
        <w:pStyle w:val="Heading2"/>
      </w:pPr>
      <w:r>
        <w:t>Regeste</w:t>
      </w:r>
    </w:p>
    <w:p>
      <w:r>
        <w:t>Internationale Rechtshilfe in Strafsachen an Peru. Herausgabe zur Einziehung (Art. 74a IRSG).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Für die Rechtshilfe zwischen der Republik Peru und der Schweiz sind in ers- ter Linie die Bestimmungen des Staatsvertrages vom 21. April 1997 zwi- schen der Schweizerischen Eidgenossenschaft und der Republik Peru über Rechtshilfe in Strafsachen (SR 0.351.964.1; im Folgenden: Rechtshilfever- trag) massgeblich, den die beiden Staaten abgeschlossen haben und der am</w:t>
      </w:r>
    </w:p>
    <w:p>
      <w:r>
        <w:rPr>
          <w:b/>
        </w:rPr>
        <w:t>E. 2</w:t>
      </w:r>
    </w:p>
    <w:p>
      <w:r>
        <w:t>Dezember 1998 in Kraft getreten ist. Soweit der Rechtshilfevertrag mit Peru bestimmte Fragen nicht abschliessend regelt, gelangt das schweizeri- sche Landesrecht (namentlich das Bundesgesetz vom 20. März 1981 über internationale Rechtshilfe in Strafsachen [IRSG; SR 351.1] und die dazuge- hörende Verordnung vom 24. Februar 1982 [IRSV; SR 351.11]) zur Anwen- dung (vgl. Art. 1 Abs. 1 IRSG). Das innerstaatliche Recht gilt (nach dem "Günstigkeitsprinzip") namentlich dann, wenn sich daraus eine weiterge- hende Rechtshilfe ergibt (Rechtshilfevertrag mit Peru, Art. 28; s. auch BGE 142 IV 250 E. 3; 140 IV 123 E. 2; 137 IV 33 E. 2.2.2; 136 IV 82 E. 3.1; 129 II 462 E. 1.1 S. 464, mit weiteren Hinweisen). Vorbehalten bleibt die Wahrung der Menschenrechte (BGE 135 IV 212 E. 2.3; 123 II 595 E. 7c).</w:t>
      </w:r>
    </w:p>
    <w:p>
      <w:r>
        <w:rPr>
          <w:b/>
        </w:rPr>
        <w:t>E. 2.1</w:t>
      </w:r>
    </w:p>
    <w:p>
      <w:r>
        <w:t>Die Verfügung der ausführenden kantonalen Behörde oder der ausführen- den Bundesbehörde, mit der das Rechtshilfeverfahren abgeschlossen wird, unterliegt zusammen mit den vorangehenden Zwischenverfügungen der Be- schwerde an die Beschwerdekammer des Bundesstrafgerichts (Art. 80e Abs. 1 IRSG i.V.m. Art. 37 Abs. 2 lit. a des Bundesgesetzes über die Orga- nisation der Strafbehörden des Bundes vom 19. März 2010 [StBOG; SR 173.71] und Art. 19 Abs. 1 des Organisationsreglements für das Bun- desstrafgericht vom 31. August 2010 [BStGerOR; SR 173.713.161]).</w:t>
      </w:r>
    </w:p>
    <w:p>
      <w:r>
        <w:rPr>
          <w:b/>
        </w:rPr>
        <w:t>E. 2.2</w:t>
      </w:r>
    </w:p>
    <w:p>
      <w:r>
        <w:t>Zur Beschwerdeführung ist berechtigt, wer persönlich und direkt von einer Rechtshilfemassnahme betroffen ist und ein schutzwürdiges Interesse an deren Aufhebung oder Änderung hat (Art. 80h lit. b IRSG). Personen, gegen die sich das ausländische Strafverfahren richtet, sind unter denselben Be- dingungen beschwerdelegitimiert (Art. 21 Abs. 3 IRSG). Bei der Erhebung von Kontoinformationen gilt als persönlich und direkt betroffen im Sinne der</w:t>
      </w:r>
    </w:p>
    <w:p>
      <w:r>
        <w:t>- 5 -</w:t>
      </w:r>
    </w:p>
    <w:p>
      <w:r>
        <w:t>Art. 21 Abs. 3 und 80h IRSG der Kontoinhaber (Art. 9a lit. a IRSV; BGE 137 IV 134 E.5.2.1; 130 II 162 E. 1.3; 128 II 211 E. 2.4; TPF 2007 79 E. 1.6).</w:t>
      </w:r>
    </w:p>
    <w:p>
      <w:r>
        <w:rPr>
          <w:b/>
        </w:rPr>
        <w:t>E. 2.3</w:t>
      </w:r>
    </w:p>
    <w:p>
      <w:r>
        <w:t>Vorliegend wird eine Schlussverfügung angefochten, mit welcher in Anwen- dung von Art. 74a IRSG die Herausgabe von Vermögenswerten an Peru an- geordnet wird. Der Beschwerdeführer ist als Kontoinhaber durch diese Massnahme ohne Weiteres beschwert und im Sinne von Art. 80h lit. b IRSG zur Beschwerdeführung legitimiert. Auf die im Übrigen frist- und formgerecht erhobene Beschwerde ist mit nachfolgender Ausnahme einzutreten.</w:t>
      </w:r>
    </w:p>
    <w:p>
      <w:r>
        <w:rPr>
          <w:b/>
        </w:rPr>
        <w:t>E. 2.4</w:t>
      </w:r>
    </w:p>
    <w:p>
      <w:r>
        <w:t>Der Beschwerdeführer ficht zudem die “Zwischenverfügung“ vom 7. Novem- ber 2002 an unter Hinweis auf Art. 80e Abs. 1 IRSG, wonach auch die der angefochtenen Schlussverfügung vorangegangene Zwischenverfügungen angefochten werden können. Gegen die vorgenannte Verfügung hat der Be- schwerdeführer bereits ein Rechtsmittel eingelegt, welches mit Beschluss vom 19. Februar 2003 von der damaligen zuständigen Rekursinstanz abge- wiesen worden war (s. Entscheid des Bundesstrafgerichts RR.2013.164 vom 11. Februar 2014, lit. D). Soweit sich seine Einwände auf die Verfügung vom</w:t>
      </w:r>
    </w:p>
    <w:p>
      <w:r>
        <w:rPr>
          <w:b/>
        </w:rPr>
        <w:t>E. 7</w:t>
      </w:r>
    </w:p>
    <w:p>
      <w:r>
        <w:t>Bei diesem Ausgang des Verfahrens sind die Gerichtskosten dem Be- schwerdeführer aufzuerlegen (Art. 63 Abs. 1 VwVG). Die Gerichtsgebühr ist auf Fr. 6'000.-- festzusetzen (Art. 63 Abs. 5 VwVG i.V.m. Art. 73 StBOG so- wie Art. 5 und 8 Abs. 3 lit. a des Reglements des Bundesstrafgerichts vom 31. August 2010 über die Kosten, Gebühren und Entschädigungen in Bun- desstrafverfahren [BStKR; SR 173.713.162]), unter Anrechnung des geleis- teten Kostenvorschusses in derselben Höhe.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