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RR.2016.13 vom 6. April 2016</w:t>
      </w:r>
    </w:p>
    <w:p>
      <w:r>
        <w:t>Bundesstrafgericht, 2016-04-06, FR</w:t>
      </w:r>
    </w:p>
    <w:p>
      <w:r>
        <w:rPr>
          <w:b/>
        </w:rPr>
        <w:t xml:space="preserve">Quelle: </w:t>
      </w:r>
      <w:r>
        <w:t>https://mcp.opencaselaw.ch/entscheid/bstger_RR.2016.13</w:t>
      </w:r>
    </w:p>
    <w:p>
      <w:r>
        <w:t>FR: TPF RR.2016.13 du 6 avril 2016</w:t>
      </w:r>
    </w:p>
    <w:p>
      <w:r>
        <w:t>IT: TPF RR.2016.13 del 6 aprile 2016</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ainsi que par l'Accord bilatéral complétant cette convention (RS 0.351.934.92).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w:t>
      </w:r>
    </w:p>
    <w:p>
      <w:r>
        <w:t>- 6 -</w:t>
      </w:r>
    </w:p>
    <w:p>
      <w:r>
        <w:t>Peut en outre s'appliquer en l'occurrence la Convention européenne relative au blanchiment, au dépistage, à la saisie et à la confiscation des produits du crime (CBl; RS 0.311.53).</w:t>
      </w:r>
    </w:p>
    <w:p>
      <w:r>
        <w:rPr>
          <w:b/>
        </w:rPr>
        <w:t>E. 1.2</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rPr>
          <w:b/>
        </w:rPr>
        <w:t>E. 1.3</w:t>
      </w:r>
    </w:p>
    <w:p>
      <w:r>
        <w:t>Pour le surplus, l'EIMP et son ordonnance d'exécution (OEIMP; RS 351.11) règlent les questions qui ne sont pas régies, explicitement ou implicitement, par les traités (ATF 130 II 337 consid. 1; 128 II 355 consid. 1 et la jurisprudence citée). Le droit interne s'applique par ailleurs lorsqu'il est plus favorable à l'octroi de l'entraide (ATF 140 IV 123 consid. 2; 137 IV 33 consid. 2.2.2).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1.4</w:t>
      </w:r>
    </w:p>
    <w:p>
      <w:r>
        <w:t>En vertu de l'art. 37 al. 2 let. a de la loi fédérale sur l'organisation des autorités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1.5</w:t>
      </w:r>
    </w:p>
    <w:p>
      <w:r>
        <w:t>Formé dans les trente jours à compter de la notification de la décision de clôture du MPC, le recours a été déposé en temps utile (art. 80k EIMP).</w:t>
      </w:r>
    </w:p>
    <w:p>
      <w:r>
        <w:rPr>
          <w:b/>
        </w:rPr>
        <w:t>E. 1.6</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En l'espèce, la recourante</w:t>
      </w:r>
    </w:p>
    <w:p>
      <w:r>
        <w:t>- 7 -</w:t>
      </w:r>
    </w:p>
    <w:p>
      <w:r>
        <w:t>est titulaire du compte visé par la décision entreprise; elle a ainsi la qualité pour recourir contre la transmission des informations y relatives.</w:t>
      </w:r>
    </w:p>
    <w:p>
      <w:r>
        <w:rPr>
          <w:b/>
        </w:rPr>
        <w:t>E. 1.7</w:t>
      </w:r>
    </w:p>
    <w:p>
      <w:r>
        <w:t>Le recours est recevable, il y a lieu d'entrer en matière.</w:t>
      </w:r>
    </w:p>
    <w:p>
      <w:r>
        <w:rPr>
          <w:b/>
        </w:rPr>
        <w:t>E. 2.1</w:t>
      </w:r>
    </w:p>
    <w:p>
      <w:r>
        <w:t>La recourante invoque dans un premier grief pour l'essentiel que les commissions rogatoires en question ne permettent pas de déterminer clairement quelle personne revêtirait ou non la qualité d'initié, qu'il soit primaire ou secondaire, ni même le rôle qu'elle-même ou son ayant-droit économique auraient joué. Il ne serait pas non plus possible, sur la base de leur contenu, d'identifier la nature des informations qui auraient été transmises, ni les modalités, le lieu ou la date de leur remise, pas plus que la personne qui y aurait eu accès ou les aurait reçues et qui les auraient remises à un tiers. Elle considère donc qu'il n'est pas possible de se prononcer sur l'exécution desdites demandes d'entraide ni même de se livrer à l'analyse de la double incrimination en ce qui la concerne. Elle relève au surplus que l'autorité requérante n'a pas requis la saisie de documents bancaires concernant son compte.</w:t>
      </w:r>
    </w:p>
    <w:p>
      <w:r>
        <w:rPr>
          <w:b/>
        </w:rPr>
        <w:t>E. 2.2</w:t>
      </w:r>
    </w:p>
    <w:p>
      <w:r>
        <w:t>Cette argumentation revient à remettre en cause l’exposé des faits fournis à l’appui de la demande et à prétendre que celle-ci ne respecterait pas l'art. 28 EIMP. Selon cette disposition – qui pose en la matière des exigences équivalentes à celles de l'art. 14 CEEJ –,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Ces indications doivent permettre à l’autorité requise de s’assurer que la demande n’est pas d’emblée inadmissible (ATF 116 Ib 96 consid. 3a; 115 1b 68 consid. 3b/aa; arrêt du Tribunal fédéral 1A.205/2001 du 21 mars 2002, consid. 2.1), soit que l’acte pour lequel l’entraide est demandée est punissable selon le droit des parties requérante et requise (art. 5 ch. 1 let. a CEEJ), qu’il ne constitue pas un délit politique ou fiscal (art. 2 let. a CEEJ), et que le principe de proportionnalité est respecté (ATF 118 Ib 111 consid. 5c et les arrêts cités). Selon la jurisprudence, l'on ne saurait exiger de l'Etat requérant un exposé</w:t>
      </w:r>
    </w:p>
    <w:p>
      <w:r>
        <w:t>- 8 -</w:t>
      </w:r>
    </w:p>
    <w:p>
      <w:r>
        <w:t>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rPr>
          <w:b/>
        </w:rPr>
        <w:t>E. 2.3</w:t>
      </w:r>
    </w:p>
    <w:p>
      <w:r>
        <w:t>En l'espèce, s'il est vrai que la recourante n'est pas expressément mentionnée dans la demande d'entraide du 14 novembre 2014 et de son complément du 2 décembre 2014, il n'en demeure pas moins que ces dernières satisfont aux exigences de l'art. 28 EIMP. En effet, l'autorité d'exécution envisage de transmettre à l'autorité requérante la documentation bancaire relative à la relation dont la recourante est titulaire. Or, à teneur de la commission rogatoire et de son complément, tant le directeur de la recourante, H., que son ayant droit économique, S. (pièces MPC, B07.102.02-0004-E), sont spécifiquement soupçonnés par les autorités françaises d'avoir participé au commerce des CFD liés aux délits d'initié sous investigation. Par ailleurs, la demande d'entraide et son complément brossent le contexte dans lequel s'inscrivent les enquêtes en cours, les différentes personnes y étant impliquées, les dates auxquelles les opérations litigieuses auraient été réalisées ainsi que les infractions entrant en considération. Ces éléments permettent de comprendre pour quelles raisons les autorités françaises ont un intérêt à vérifier si le compte dont disposait la recourante a pu servir à commettre les infractions concernées ou à en recueillir le produit. Au surplus, le fait que la demande d'entraide ou son complément ne fournissent aucune indication spécifique tant sur les informations privilégiées qui auraient en l'occurrence circulé que sur la recourante elle-même n'est pas pertinent. Il suffit en effet qu'il existe un rapport objectif entre la mesure d'entraide et les faits poursuivis, sans que la personne soumise à la mesure n'ait forcément participé aux agissements décrits (arrêts du Tribunal fédéral 1A.244/2006 du 26 janvier 2007,consid. 3; 1A.96/2003 du 25 juin 2003, consid. 2.1). C'est en outre le lieu de rappeler que l'autorité requérante n'a pas à fournir de preuve à l'appui de ses allégations (ATF 132 II 81 consid. 2.1 p. 85). Ces éléments suffisent à écarter le grief de la recourante.</w:t>
      </w:r>
    </w:p>
    <w:p>
      <w:r>
        <w:t>- 9 -</w:t>
      </w:r>
    </w:p>
    <w:p>
      <w:r>
        <w:rPr>
          <w:b/>
        </w:rPr>
        <w:t>E. 3.1</w:t>
      </w:r>
    </w:p>
    <w:p>
      <w:r>
        <w:t>La recourante fait valoir ensuite une violation du principe de double incrimination. Elle retient en effet que la demande d'entraide ne la vise pas. On ne saurait donc retenir une participation de sa part aux faits sous enquête. Le MPC considère quant à lui que la demande d'entraide vise tant les personnes pouvant revêtir la qualité d'initié primaire, notamment EE., que d'éventuels coauteurs; les faits exposés dans la demande pourraient également viser des initiés secondaires. En outre, les plus-values engrangées apparaissant supérieures à CHF 1 mio, le blanchiment pourrait être réalisé. Enfin, selon lui, l'état de fait concerne également toute personne ayant reçu fortuitement des informations privilégiées.</w:t>
      </w:r>
    </w:p>
    <w:p>
      <w:r>
        <w:rPr>
          <w:b/>
        </w:rPr>
        <w:t>E. 3.2</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(cf. art. 64 al. 1 EIMP cum art. 5 ch. 1 let. a CEEJ;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(v.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rPr>
          <w:b/>
        </w:rPr>
        <w:t>E. 3.3</w:t>
      </w:r>
    </w:p>
    <w:p>
      <w:r>
        <w:t>L'art. 40 de la loi fédérale sur les bourses et le commerce des valeurs mobilières (RS 954.1; LBVM) pris en considération par le MPC pour évaluer le principe de la double incrimination dans la décision entreprise a été abrogé au 31 décembre 2015 (RO 2015 5339; FF 2014 7235). C'est dorénavant l'art. 154 de la loi fédérale du 19 juin 2015 sur les infrastructures des marchés financiers et le comportement sur le marché en matière de négociation de valeurs mobilières et de dérivés (LIMF; RS 958.1) qui</w:t>
      </w:r>
    </w:p>
    <w:p>
      <w:r>
        <w:t>- 10 -</w:t>
      </w:r>
    </w:p>
    <w:p>
      <w:r>
        <w:t>s'applique. Conformément aux principes généraux concernant l'application ratione temporis du droit (cf. ATF 137 II 409 consid. 7.4.5 p. 417; 136 V 24 consid. 4.3 p. 27 et les arrêts cités),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Un changement de loi intervenu au cours d'une procédure de recours devant un tribunal administratif n'a donc pas à être pris en considération, à moins qu'une application immédiate du nouveau droit s'impose pour des motifs impératifs, par exemple pour des raisons d'ordre ou de sécurité publics ou pour la sauvegarde d'intérêts publics prépondérants; il peut notamment en aller ainsi lorsque le recours porte sur une décision fondée sur un comportement passé mais qui a des conséquences durables dans le futur; dans une telle hypothèse, la jurisprudence admet, selon les circonstances, que le tribunal saisi puisse confirmer la décision querellée sur la base du nouveau droit (cf. ATF 129 II 497 consid. 5.3.2 p. 522 et les arrêts cités; arrêt du Tribunal fédéral 2C_318/2012 du 22 février 2013 consid. 3.2 non publié dans l'ATF 139 II 121; arrêts du Tribunal fédéral 2C_559/2011 du 20 janvier 2012, consid. 1.4 et 2C_862/2013 du 18 juillet 2014, consid. 3.1). En entraide, la condition de la double incrimination s'examine au regard du droit en vigueur au moment où il est statué sur la demande d'entraide judiciaire, – soit lors de la décision de clôture (ATF 130 II 217 consid. 11.2; 129 I 462 consid. 4.3) –, et non au moment de la commission du délit (ATF 122 II 422 consid. 2a p. 424; 112 Ib 576 consid. 2 p. 584; 109 Ib 60 consid. 2a p. 62). Compte tenu de ce qui précède, dès lors que la décision querellée a été prise en décembre 2015, c'est au regard de l'art. 40 aLBVM qu'il y a lieu d'analyser la double punissabilité.</w:t>
      </w:r>
    </w:p>
    <w:p>
      <w:r>
        <w:rPr>
          <w:b/>
        </w:rPr>
        <w:t>E. 3.4</w:t>
      </w:r>
    </w:p>
    <w:p>
      <w:r>
        <w:t>La disposition en question prévoyait, sous le titre «Exploitation d'informations d'initiés»: «Est puni d’une peine privative de liberté de trois ans au plus ou d’une peine pécuniaire quiconque, en qualité d’organe ou de membre d’un organe de direction ou de surveillance d’un émetteur ou d’une société contrôlant l’émetteur ou contrôlée par celui-ci, ou en tant que personne qui a accès à des informations d’initiés en raison de sa participation ou de son activité, obtient pour lui-même ou pour un tiers un avantage pécuniaire en utilisant une information d’initié comme suit: a) en l’exploitant pour acquérir ou aliéner des valeurs mobilières admises au négoce d’une bourse ou d’une organisation analogue à une bourse en Suisse, ou pour utiliser des instruments dérivés relatifs à ces valeurs; b) en la divulguant à un tiers; c) en l’exploitant pour recommander à un tiers l’achat ou la vente de valeurs mobilières admises au négoce d’une bourse ou d’une organisation analogue à une bourse en Suisse ou l’utilisation</w:t>
      </w:r>
    </w:p>
    <w:p>
      <w:r>
        <w:t>- 11 -</w:t>
      </w:r>
    </w:p>
    <w:p>
      <w:r>
        <w:t>d’instruments dérivés relatifs à ces valeurs (al. 1). Est puni d’une peine privative de liberté de cinq ans au plus ou d’une peine pécuniaire quiconque obtient un avantage pécuniaire de plus de 1 million de francs en commettant un acte visé à l’al. 1 (al. 2). Est puni d’une peine privative de liberté d’un an au plus ou d’une peine pécuniaire quiconque obtient pour lui-même ou pour un tiers un avantage pécuniaire en exploitant une information d’initié que lui a communiquée une des personnes visées à l’al. 1, ou qu’il a obtenue par un crime ou un délit, afin d’acquérir ou d’aliéner des valeurs mobilières admises au négoce d’une bourse ou d’une organisation analogue à une bourse en Suisse, ou d’utiliser des instruments dérivés relatifs à ces valeurs (al. 3). Est punie d’une amende toute personne qui, n’étant pas visée aux al. 1 à 3, obtient pour elle-même ou pour un tiers un avantage pécuniaire en exploitant une information d’initié afin d’acquérir ou d’aliéner des valeurs mobilières admises au négoce d’une bourse ou d’une organisation analogue à une bourse en Suisse, ou d’utiliser des instruments dérivés relatifs à ces valeurs (al. 4).» On entendait par information d'initié: «information confidentielle dont la divulgation est susceptible d’influencer notablement le cours de valeurs mobilières admises au négoce d’une bourse ou d’une organisation analogue à une bourse en Suisse» (art. 2 let. f aLBVM). Ainsi, pour tous les initiés, l’exploitation d’une information d’initié pour acquérir ou aliéner des valeurs mobilières admises au négoce d’une bourse ou d’une organisation analogue à une bourse en Suisse, ou pour utiliser des instruments dérivés relatifs à ces valeurs, est prohibée. Les conditions objectives sont réalisées dès que l'auteur a obtenu pour lui ou pour un tiers un avantage patrimonial (WEBER, Börsenrecht, Kommentar, 2e éd., Zurich 2013, no 9 ad art. 40; GALLIANO/MOLO, La révision du droit pénal boursier suisse, in PJA 2013 p. 1029, p. 1032). Le fait que la transaction soit effectuée sur un marché réglementé ou en dehors n’est pas pertinente. Pour l’initié primaire, la communication d’une information d’initié à des tiers (dit «tipping») et l’exploitation d’une information d’initié pour recommander l’achat ou la vente de valeurs mobilières ou l’utilisation d’instruments dérivés relatifs à ces valeurs, sont prohibés (WEBER, Informationsmissbrauch im Finanzmarkt, Eine Untersuchung des börsenrechtlichen Systems zur Ahndung und Abwehr von Informationsmissbrauch im schweizerischen Finanzmarkt; in SSFM 2013, Nr. 111, p. 129).</w:t>
      </w:r>
    </w:p>
    <w:p>
      <w:r>
        <w:rPr>
          <w:b/>
        </w:rPr>
        <w:t>E. 3.5</w:t>
      </w:r>
    </w:p>
    <w:p>
      <w:r>
        <w:t>Il ressort en l'espèce de la demande d'entraide et de son complément que les autorités françaises soupçonnent EE., avocat, dont la clientèle est principalement constituée de sociétés cotées françaises et étrangères, de fonds d'investissement et de groupes industriels, d'avoir communiqué des informations privilégiées à G. afin que ce dernier puisse réaliser des opérations sur les titres concernés, les bénéfices obtenus étant ensuite</w:t>
      </w:r>
    </w:p>
    <w:p>
      <w:r>
        <w:t>- 12 -</w:t>
      </w:r>
    </w:p>
    <w:p>
      <w:r>
        <w:t>partagés entre les deux hommes. Une perquisition effectuée dans les locaux de l'étude de EE. a d'ailleurs permis la saisie de documents qui établiraient l'existence de liens financiers entre EE, et G. (act. 1.2. p. 6). Or, à teneur de la demande d'entraide, les informations en question semblent avoir été exploitées pour acheter ou vendre des titres liés aux CFD concernés. Sous cet angle, EE. pourrait revêtir la qualité d'initié primaire, respectivement G. d'initié secondaire, au sens de la disposition pénale précitée. C'est le lieu de relever qu'il n'est pas nécessaire en l'occurrence que la recourante ait elle-même la qualité d'initié primaire ou secondaire. En effet, la condition de la double incrimination n'implique pas que la personne soumise à des mesures de contrainte dans l'Etat requis soit elle- même accusée dans l'Etat requérant. Il suffit que dans cet Etat une procédure pénale soit ouverte à l'encontre d'une personne prévenue de faits qui seraient aussi réprimés dans l'Etat requis et pour les besoins de laquelle des investigations sont nécessaires (ZIMMERMANN, La coopération judiciaire internationale en matière pénale, 4e éd., Berne 2014, no 576). Or, il s'avère en l'espèce que G. et H., directeur de la recourante, sont en relation privée (act. 1.2 p. 6). Au surplus, S., ayant droit économique de la recourante, l'est aussi de I. SA, société mise en cause dans l'achat des CFD sous enquête. C'est par ailleurs en vain que la recourante fait valoir que les commissions rogatoires françaises ne détaillent pas quelles seraient les informations privilégiées dont elle-même aurait bénéficié. Les coïncidences entre les dates des ventes et achats des titres liés aux plus- values incriminées visées par les investigations menées en France telles que figurant dans la demande d'entraide et son complément suffisent en l'espèce pour admettre prima facie que des informations privilégiées ont pu être échangées à propos de ces opérations. Pour le reste, les développements faits par la recourante relèvent de l'argumentation à décharge, laquelle, de jurisprudence constante, n'a pas sa place dans le cadre de la procédure d'entraide (ATF 132 II 81 consid. 2.1 et les arrêts cités; arrêt du Tribunal fédéral 1A.59/2000 du 10 mars 2000, consid. 2b; arrêts du Tribunal pénal fédéral RR.2011.81 du 21 juin 2011, consid. 3.3.2/c; RR.2007.183 du 21 février 2008, consid. 3; RR.2007.118 du 30 octobre 2007, consid. 5.1). L'examen desdits griefs incombe au juge pénal. Il n'appartient pas à la Cour de céans, dans le cadre de la procédure d'entraide, de se substituer au juge du fond de l'Etat requérant. Il faut donc s'en tenir aux faits présentés par les autorités françaises, qui, s'ils s'étaient déroulés en Suisse, relèveraient notamment de l'exploitation d'information d'initié.</w:t>
      </w:r>
    </w:p>
    <w:p>
      <w:r>
        <w:t>- 13 -</w:t>
      </w:r>
    </w:p>
    <w:p>
      <w:r>
        <w:rPr>
          <w:b/>
        </w:rPr>
        <w:t>E. 4.1</w:t>
      </w:r>
    </w:p>
    <w:p>
      <w:r>
        <w:t>La recourante invoque au surplus qu'in casu le principe de la proportionnalité est violé. Elle allègue qu'il n'existe aucun lien entre les faits objets de la demande d'entraide et la relation visée par la décision de clôture. Selon elle, les flux de fonds entrant ou sortant sont sans lien avec les faits sous enquête et en particulier avec les plus-values listées dans la demande d'entraide. La relation bancaire a été ouverte par I. SA pour le compte de S., ayant droit économique de la recourante, dans le seul but de procéder à des opérations en faveur de la société A. SA et de S., ce, à la demande expresse du courtier auprès duquel les opérations étaient traitées, lequel souhaitait avoir comme interlocuteur une société de gestion uniquement. Ainsi plusieurs versements auraient été effectués de S. à lui- même. La recourante fait valoir en outre que des versements effectués par le débit de la relation bancaire en cause auraient été destinés à couvrir des honoraires d'avocats de son ayant droit économique. En conséquence, les documents y relatifs devraient, selon elle, être retirés du dossier, leur caviardage ne suffisant pas.</w:t>
      </w:r>
    </w:p>
    <w:p>
      <w:r>
        <w:rPr>
          <w:b/>
        </w:rPr>
        <w:t>E. 4.2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 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w:t>
      </w:r>
    </w:p>
    <w:p>
      <w:r>
        <w:t>- 14 -</w:t>
      </w:r>
    </w:p>
    <w:p>
      <w:r>
        <w:t>2007, consid 4.2). Concrètement, l'autorité étrangère peut notamment être autorisée à consulter le dossier de la procédure nationale menée par l'Etat requis (arrêt du Tribunal pénal fédéral RR.2007.118 du 30 octobre 2007, consid. 7; ZIMMERMANN, op. cit., n° 280 et les références citées). La question de savoir si les renseignements demandés sont nécessaires ou simplement utiles à la procédure pénale instruite dans l'Etat requérant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4.3</w:t>
      </w:r>
    </w:p>
    <w:p>
      <w:r>
        <w:t>S'agissant des demandes relatives à des informations bancaires, il convient en principe de transmettre tous les documents qui peuvent faire référence aux soupçons exposés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w:t>
      </w:r>
    </w:p>
    <w:p>
      <w:r>
        <w:t>- 15 -</w:t>
      </w:r>
    </w:p>
    <w:p>
      <w:r>
        <w:t>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(supra consid. 4.2; ATF 118 Ib 547 consid. 3a; arrêt du Tribunal fédéral 1A.88/2006 du 22 juin 2006, consid. 5.3; arrêt du Tribunal pénal fédéral RR.2008.287 du 9 avril 2009, consid. 2.2.4 et la jurisprudence citée).</w:t>
      </w:r>
    </w:p>
    <w:p>
      <w:r>
        <w:rPr>
          <w:b/>
        </w:rPr>
        <w:t>E. 4.4</w:t>
      </w:r>
    </w:p>
    <w:p>
      <w:r>
        <w:t>A titre préalable, il sied d'écarter l'argument de la recourante selon lequel l'autorité requérante n'aurait pas sollicité dans ses demandes d'entraide les éléments que le MPC a décidé de lui transmettre. En effet, dans la mesure où les documents dont la transmission est querellée ont été sélectionnés par les représentants de l'autorité requérante lors de leur venue en Suisse (act. 1.5), ils font intégralement partie de la demande d'entraide (arrêt du Tribunal pénal fédéral RR.2014.100-101 du 22 mai 2014, consid. 3.2 in fine).</w:t>
      </w:r>
    </w:p>
    <w:p>
      <w:r>
        <w:rPr>
          <w:b/>
        </w:rPr>
        <w:t>E. 4.5</w:t>
      </w:r>
    </w:p>
    <w:p>
      <w:r>
        <w:t>En ce qui concerne les documents qui, de l'avis de la recourante, seraient couverts par le secret professionnel, il y a lieu de rappeler d'une part que si le droit fédéral institue un secret professionnel absolu, dont la violation est passible des peines prévues par l'art. 321 CP, en l'occurrence, seul l'ayant droit économique de la société recourante apparaît être le bénéficiaire du secret d'avocat protégé (MAURER/GROSS, Commentaire romand de la loi sur les avocats, [Valticos/Reiser/Chappuis édit.], Bâle 2010, ad art. 13 no 115; NATER/ZINDEL, Kommentar zum Anwaltsgesetz, 2e éd., Zurich Bâle Genève 2011, ad art. 13 no 60). C'est lui seul – et non la recourante – qui est le client des avocats évoqués par la recourante, soit la firme JJ. à Londres et Me KK. Ainsi, la recourante ne peut-elle invoquer le secret professionnel à propos des documents, respectivement des transferts de fonds, en question. D'autre part, le secret professionnel couvre tous les faits et documents confiés à l'avocat qui présentent un rapport certain avec l'exercice de sa profession, dans la mesure où il s'agit de son activité traditionnelle. Dès lors, si le secret professionnel de l'avocat exclut la saisie de documents relatifs à l'exécution de son mandat d'avocat,</w:t>
      </w:r>
    </w:p>
    <w:p>
      <w:r>
        <w:t>- 16 -</w:t>
      </w:r>
    </w:p>
    <w:p>
      <w:r>
        <w:t>il ne s'oppose pas en revanche à la saisie de pièces qui concernent une activité purement commerciale de celui-ci (cf. ATF 135 III 410 consid. 3.3; 126 II 495 consid. 2e/aa; 120 Ib 112 consid. 4; 117 Ia 341 consid. 6a/cc p. 349/350; 112 Ib 606; ég. arrêt du Tribunal fédéral 1A.182/2001 du 26 mars 2002, consid. 6.3). En cas de doute sur la qualification d'une activité de l'avocat, c'est le caractère atypique qui l'emporte (MICHEL, Le secret professionnel de l'avocat et ses limites, 2e partie, in ANWA 2009, p. 546 et référence citée). Or, dans un arrêt en lien avec la présente affaire, la Cour de céans a déjà eu l'occasion de conclure au caractère commercial de l'activité en l'occurrence déployée par Me KK., bénéficiaire de certains des paiements invoqués (arrêt du Tribunal pénal fédéral RR.2015.148+RR.2015.149 du 23 novembre 2015, consid. 7.6.3). Rien au dossier ne permet de remettre en cause cet élément. En conséquence, le grief de la recourante doit être rejeté sur ce point également.</w:t>
      </w:r>
    </w:p>
    <w:p>
      <w:r>
        <w:rPr>
          <w:b/>
        </w:rPr>
        <w:t>E. 4.6</w:t>
      </w:r>
    </w:p>
    <w:p>
      <w:r>
        <w:t>Ensuite, il ressort des pièces figurant au dossier que l'ayant droit économique de la société recourante, S., et son directeur, H., sont tous deux mis en cause dans l'enquête française (cf. supra consid. 2.3; act. 1.2 p. 2; act. 1.3 p. 3). Par ailleurs, il ressort de la documentation qui doit être transmise à la France que divers versements, dont un de quelque Euro 2 mios, ont été effectués du compte en question en octobre 2013, soit au moment même d'une des transactions incriminées (cf. supra let. E g), en faveur de I. SA – elle-même mise en cause dans le cadre des investigations françaises – aux fins notamment d'effectuer des transactions CFD (pièces MPC B07.102.02-0032-01; B07.102.02-0033-01; B07.102.02-0036-01; B07.102.02-0039-01; B07.102.02-0040-01ss; B07.102.02-0019-02). Au surplus, ces différents mouvements permettent de confirmer l'existence de relations d'affaire entre la recourante, H., S. et I. SA; en conséquence, la documentation relative à la relation en question peut amener l'autorité requérante à déterminer si des plus-values ont été réalisées ou non suite aux opérations sous enquête et tenter d'identifier la destination finale des fonds concernés, respectivement d'éventuels autres acteurs.</w:t>
      </w:r>
    </w:p>
    <w:p>
      <w:r>
        <w:rPr>
          <w:b/>
        </w:rPr>
        <w:t>E. 4.7</w:t>
      </w:r>
    </w:p>
    <w:p>
      <w:r>
        <w:t>Enfin, contrairement à ce que soutient la recourante, la limite de Euro 10'000.-- figurant dans la demande d'entraide n'a pas pour but d'exclure la transmission de la documentation afférente à des montants inférieurs, mais bien de requérir, pour les virements supérieurs à ce seuil, en sus, tout justificatif y relatif permettant d'identifier les contreparties concernées. Sous cet angle, on ne saurait reprocher au MPC de n'avoir pas fait de distinguo et d'être allé sans raison au-delà de la demande d'entraide.</w:t>
      </w:r>
    </w:p>
    <w:p>
      <w:r>
        <w:rPr>
          <w:b/>
        </w:rPr>
        <w:t>E. 4.8</w:t>
      </w:r>
    </w:p>
    <w:p>
      <w:r>
        <w:t>Sur le vu de ce qui précède, le grief relatif à une violation du principe de la proportionnalité doit être écarté; la transmission des documents concernés</w:t>
      </w:r>
    </w:p>
    <w:p>
      <w:r>
        <w:t>- 17 -</w:t>
      </w:r>
    </w:p>
    <w:p>
      <w:r>
        <w:t>apparaissant légitime. L'appréciation des preuves relève en effet de la compétence du juge pénal français et il n'appartient pas à la Cour de céans, dans le cadre de la procédure d'entraide, de se substituer au juge du fond de l'Etat requérant (ATF 132 II 81 consid. 2.1; arrêt du Tribunal pénal fédéral RR.2007.77 du 29 octobre 2007, consid. 6). La commission rogatoire française a pour but la manifestation de la vérité. Il s'ensuit que, même s'il devait s'avérer que le compte litigieux n'a pas servi à commettre une infraction ou à en récolter les fruits, les autorités pénales françaises n'en ont toutefois pas moins un intérêt à pouvoir le vérifier directement au vu d'une documentation complète (v. arrêt du Tribunal pénal fédéral RR.2015.82/83/84/85 du 19 octobre 2015; arrêt du Tribunal fédéral 1A.277/2006 du 13 mars 2007, consid. 3.2).</w:t>
      </w:r>
    </w:p>
    <w:p>
      <w:r>
        <w:rPr>
          <w:b/>
        </w:rPr>
        <w:t>E. 5</w:t>
      </w:r>
    </w:p>
    <w:p>
      <w:r>
        <w:t>Le recours est ainsi rejeté.</w:t>
      </w:r>
    </w:p>
    <w:p>
      <w:r>
        <w:rPr>
          <w:b/>
        </w:rPr>
        <w:t>E. 6</w:t>
      </w:r>
    </w:p>
    <w:p>
      <w:r>
        <w:t>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