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RR.2016.129 vom 25. August 2016</w:t>
      </w:r>
    </w:p>
    <w:p>
      <w:r>
        <w:t>Bundesstrafgericht, 2016-08-25, IT</w:t>
      </w:r>
    </w:p>
    <w:p>
      <w:r>
        <w:rPr>
          <w:b/>
        </w:rPr>
        <w:t xml:space="preserve">Quelle: </w:t>
      </w:r>
      <w:r>
        <w:t>https://mcp.opencaselaw.ch/entscheid/bstger_RR.2016.129</w:t>
      </w:r>
    </w:p>
    <w:p>
      <w:r>
        <w:t>FR: TPF RR.2016.129 du 25 août 2016</w:t>
      </w:r>
    </w:p>
    <w:p>
      <w:r>
        <w:t>IT: TPF RR.2016.129 del 25 agosto 2016</w:t>
      </w:r>
    </w:p>
    <w:p>
      <w:pPr>
        <w:pStyle w:val="Heading2"/>
      </w:pPr>
      <w:r>
        <w:t>Regeste</w:t>
      </w:r>
    </w:p>
    <w:p>
      <w:r>
        <w:t>Assistenza giudiziaria internazionale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rappresentato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RR.2016.129</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 ricorrente e sita presso la banca B., Ginevra (v. act. 1.1); - il ricorso presentato il 18 luglio 2016 da A. avverso tale decisione, con cui ha postulato l'annullamento della stessa (v. act. 1); - l'invito del 20 luglio 2016 al ricorrente a versare l’anticipo delle spese di fr. 5'000.-- entro il 2 agosto (v. act. 3); - le proroga concessa da questa Corte fino al 12 agosto 2016 (v. act. 4); - lo scritto datato 10 agosto 2016 con cui il ricorrente ha dichiarato di ritirare il proprio gravame (v. act. 5).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il ricorrente ha semplicemente indicato il ritiro del proprio ricorso;</w:t>
      </w:r>
    </w:p>
    <w:p>
      <w:r>
        <w:t>- 3 -</w:t>
      </w:r>
    </w:p>
    <w:p>
      <w:r>
        <w:t>- che in simili circostanze l'insorgente va considerato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il versamento dell’anticipo delle spese e prima che l'autorità d'esecuzione sia stata invitata a presentare le proprie os- servazioni (art. 57 al. 1 PA);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