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RR.2016.118 vom 10. Oktober 2016</w:t>
      </w:r>
    </w:p>
    <w:p>
      <w:r>
        <w:t>Bundesstrafgericht, 2016-10-10, IT</w:t>
      </w:r>
    </w:p>
    <w:p>
      <w:r>
        <w:rPr>
          <w:b/>
        </w:rPr>
        <w:t xml:space="preserve">Quelle: </w:t>
      </w:r>
      <w:r>
        <w:t>https://mcp.opencaselaw.ch/entscheid/bstger_RR.2016.118</w:t>
      </w:r>
    </w:p>
    <w:p>
      <w:r>
        <w:t>FR: TPF RR.2016.118 du 10 octobre 2016</w:t>
      </w:r>
    </w:p>
    <w:p>
      <w:r>
        <w:t>IT: TPF RR.2016.118 del 10 ottobre 2016</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w:t>
      </w:r>
    </w:p>
    <w:p>
      <w:r>
        <w:t>- 5 -</w:t>
      </w:r>
    </w:p>
    <w:p>
      <w:r>
        <w:t>samente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 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M. DANGUBIC/T. KESHELAVA, Commentario basilese, Interna- tionales Strafrecht, Basilea 2015, n. 1 e segg. ad art. 12 AIMP), di cui al prece- dente considerando.</w:t>
      </w:r>
    </w:p>
    <w:p>
      <w:r>
        <w:rPr>
          <w:b/>
        </w:rPr>
        <w:t>E. 1.4</w:t>
      </w:r>
    </w:p>
    <w:p>
      <w:r>
        <w:t>Interposto tempestivamente contro la decisione di chiusura del 2 giugno 2016, il ricorso è ricevibile sotto il profilo degli art. 25 cpv. 1, 80e cpv. 1 e 80k AIMP. Nella misura in cui le intercettazioni ambientali e telefoniche nonché i rapporti di polizia oggetto della suddetta decisione concernono anche il ricorrente, la legittimazione ricorsuale è data (v. art. 80h lett. b AIMP). Inammissibile è invece il gravame avverso le trasmissioni di documentazione e oggetti intervenute il 31 ottobre 2014, il 20 novembre 2014 e il 5 marzo 2015. Il verbale relativo alla perquisizione del domicilio del ricorrente avvenuta il 28 agosto 2014 menziona in maniera chiara e inequivocabile il consenso all’esecuzione semplificata giu- sta l’art. 80c AIMP rilasciato dalla moglie, persona presente durante la predetta operazione nonché abilitata, in qualità di detentrice della documentazione e de- gli oggetti sequestrati e poi trasmessi alle autorità italiane, a fornire il consenso in questione (v. rubrica 8 incarto MPC).</w:t>
      </w:r>
    </w:p>
    <w:p>
      <w:r>
        <w:rPr>
          <w:b/>
        </w:rPr>
        <w:t>E. 2</w:t>
      </w:r>
    </w:p>
    <w:p>
      <w:r>
        <w:t>La Corte dei reclami penali del Tribunale penale federale non è vincolata dalle conclusioni delle parti (art. 25 cpv. 6 AIMP; DTF 119 Ib 64 consid. 3a). Essa esamina liberamente se i presupposti per la concessione dell'assistenza sono adempiuti e in quale misura questa debba esser prestata (v. DTF 123 II 134 consid. 1d; 118 Ib 269 consid. 2e), può esaminare aspetti non censurati nel ricorso, senza tuttavia essere tenuta, come lo sarebbe un'autorità di vigilanza, a verificare d'ufficio la conformità delle decisioni impugnate con l'insieme delle norme applicabili (v. 123 II 134 consid. 1d; 119 Ib 56 consid. 1d; TPF 2011 97 consid. 5; ROBERT ZIMMERMANN, La coopération judiciaire internationale en ma- tière pénale, 4a ediz., Berna 2014, n. 522).</w:t>
      </w:r>
    </w:p>
    <w:p>
      <w:r>
        <w:t>- 6 -</w:t>
      </w:r>
    </w:p>
    <w:p>
      <w:r>
        <w:rPr>
          <w:b/>
        </w:rPr>
        <w:t>E. 3</w:t>
      </w:r>
    </w:p>
    <w:p>
      <w:r>
        <w:t>Il ricorrente contesta innanzitutto l’esposto fattuale presentato dal MPC nella decisione impugnata, specialmente per quanto riguarda le accuse nei suoi con- fronti di appartenenza ad un’organizzazione criminale. Se i fatti fossero stati presentati correttamente, le condizioni per accogliere la rogatoria italiana non sarebbero adempiute. In questo senso, vi sarebbe quindi una violazione del diritto federale ed un'inesatta ed incompleta valutazione di fatti pertinenti.</w:t>
      </w:r>
    </w:p>
    <w:p>
      <w:r>
        <w:rPr>
          <w:b/>
        </w:rPr>
        <w:t>E. 3.1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fermo restando che la verifica delle condizioni per la concessione dell'assistenza deve rimanere possibile (v. DTF 117 Ib 64 consid. 5c, con giurisprudenza citata). Ciò non im- plica per lo Stato richiedente l'obbligo di provare la commissione del reato, ma solo quello di esporre in modo sufficiente le circostanze sulle quali fonda i propri sospetti, per permettere allo Stato richiesto di distinguere la domanda da un'inammissibile ricerca indiscriminata di prove (v. su questo tema DTF 129 II 97 consid. 3.1; 125 II 65 consid. 6b/aa; 122 II 367 consid. 2c). L'esame della colpevolezza è riservato al giudice straniero del merito, non a quello svizzero dell'assistenza (DTF 113 Ib 276 consid. 3a; 112 Ib 576 consid. 3; sentenza del Tribunale federale 1C_562/2011 del 22 dicembre 2011, consid. 1.5). L'autorità non si scosta dall'esposto dei fatti contenuto nella domanda, fatti salvi gli errori, le lacune o altre contraddizioni evidenti ed immediatamente rilevati (DTF 132 II 81 consid. 2.1; 118 Ib 111 consid. 5b pag. 121 e seg.).</w:t>
      </w:r>
    </w:p>
    <w:p>
      <w:r>
        <w:rPr>
          <w:b/>
        </w:rPr>
        <w:t>E. 3.2</w:t>
      </w:r>
    </w:p>
    <w:p>
      <w:r>
        <w:t>La rogatoria del 13 marzo 2013 ed i successivi complementi indicano con suffi- ciente chiarezza il suo oggetto. Oltre a quanto già evidenziato (v. Fatti lett. A supra), dal complemento rogatoriale del 16 maggio 2016 risulta che il ricorrente è stato sottoposto in Italia alla misura cautelare della custodia in carcere per il reato di associazione per delinquere di stampo mafioso, unitamente ad altre 17 persone, in quanto sospettato di appartenere alla ‘ndrangheta operante sul territorio nazionale ed estero. In particolare, egli è sospettato di essere compo- nente della cosiddetta società minore, con la qualità di partecipe attivo alla lo- cale di Frauenfeld, con il compito di assicurare le comunicazioni tra gli associati,</w:t>
      </w:r>
    </w:p>
    <w:p>
      <w:r>
        <w:t>- 7 -</w:t>
      </w:r>
    </w:p>
    <w:p>
      <w:r>
        <w:t>partecipare alle riunioni ed eseguire le direttive dei vertici dell’associazione, ri- conoscendo e rispettando le gerarchie e le regole interne al sodalizio. L’asso- ciazione mafiosa in questione avrebbe disposto di armi e avrebbe finanziato le attività economiche con il prezzo, il prodotto o il profitto dei reati compiuti. L’au- torità rogante ha specificato di procedere anche ad indagini patrimoniali nell’am- bito di un procedimento di prevenzione volto ad accertare se A. sia titolare di beni (direttamente o indirettamente) di valore sproporzionato rispetto al reddito dichiarato o all’attività economica svolta o se gli stessi siano il reimpiego o il frutto di attività illecite (v. rubrica 1 incarto MPC). Inoltre, le registrazioni am- bientali, oggetto della decisione impugnata, effettuate nell’ambito del procedi- mento elvetico dimostrerebbero che gli imputati, tra cui il ricorrente, sarebbero membri, in concorso con altre persone, di un’articolazione svizzera della ’ndran- gheta, più precisamente della società della ‘ndrangheta di Frauenfeld facente capo al locale C.. Il gruppo criminale sarebbe composto prevalentemente da cittadini di nazionalità italiana, i quali avrebbero praticato formule e rituali tipici della ‘ndrangheta, riunendosi in un locale pubblico presso il Comune di Wängi, nel Canton Turgovia. Le discussioni che si sarebbero tenute all’interno del gruppo avrebbero riguardato in particolare procedure di affiliazione, consuetu- dine e norme di condotta criminali, forme di egemonia all’interno della struttura criminale e la capacità del gruppo di commettere atti di natura criminale. L’as- sociazione sarebbe organizzata mediante una suddivisione di cariche, ruoli e compiti assegnati in base all’anzianità di affiliazione e alla pregressa militanza nelle cosche italiane.</w:t>
      </w:r>
    </w:p>
    <w:p>
      <w:r>
        <w:t>Quanto precede è di per sé sufficiente per motivare la necessità dell'autorità rogante di approfondire la situazione e valutare la posizione del ricorrente. I documenti e gli oggetti di cui l'autorità d'esecuzione ha ordinato la trasmissione all'estero dovranno permettere di ulteriormente chiarire i fatti oggetto dell'inchie- sta italiana. In questo senso, l'esposto dei fatti contenuto nella rogatoria del 13 marzo 2013 e negli ulteriori complementi, riprodotto, unitamente agli ele- menti raccolti nell’ambito delle indagini interne, nella decisione impugnata adempie le esigenze legali richieste. Sotto questo profilo non vi è dunque stata violazione del diritto, né vi sono elementi per ritenere che la valutazione dei fatti pertinenti sia stata inesatta o incompleta.</w:t>
      </w:r>
    </w:p>
    <w:p>
      <w:r>
        <w:rPr>
          <w:b/>
        </w:rPr>
        <w:t>E. 4</w:t>
      </w:r>
    </w:p>
    <w:p>
      <w:r>
        <w:t>Il ricorrente lamenta una violazione del principio della doppia punibilità in capo all'ipotesi di appartenenza o sostegno ad un’organizzazione criminale. A suo parere, l’art. 260ter CP non corrisponde all’art. 416-bis CP/italiano. Inoltre, i fatti contestatigli in Italia, se commessi in Svizzera, non costituirebbero reato giusta l’art. 260ter CP.</w:t>
      </w:r>
    </w:p>
    <w:p>
      <w:r>
        <w:t>- 8 -</w:t>
      </w:r>
    </w:p>
    <w:p>
      <w:r>
        <w:rPr>
          <w:b/>
        </w:rPr>
        <w:t>E. 4.1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p. 893 e segg.). L'art. X n. 1 dell'Accordo italo-svizzero prevede a sua volta che l'assistenza giudiziaria consistente in una misura coercitiva è concessa solo se il fatto che ha dato luogo alla commissione rogatoria è punibile secondo il diritto dei due Stati. Nel diritto interno, tale principio è espresso all'art. 64 cpv. 1 AIMP. Il giudice dell'as- sistenza e prima di esso le autorità d'esecuzione non devono procedere a un esame dei reati e delle norme penali menzionati nella domanda di assistenza, ma devono semplicemente vagliare, limitandosi a un esame prima facie, se i fatti addotti nella domanda estera – effettuata la dovuta trasposizione – sareb- 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legislazioni toccate, dalla medesima qualificazione giu- ridica (DTF 124 II 184 consid. 4b/cc pag. 188).</w:t>
      </w:r>
    </w:p>
    <w:p>
      <w:r>
        <w:rPr>
          <w:b/>
        </w:rPr>
        <w:t>E. 4.2</w:t>
      </w:r>
    </w:p>
    <w:p>
      <w:r>
        <w:t>L’infrazione prevista all’art. 260ter CP si riferisce ad associazioni criminali che presentano un carattere particolarmente pericoloso. La nozione d’organizza- zione criminale è più restrittiva rispetto a quella di associazione illecita giusta l’art. 275ter CP oppure di banda, sia in ambito di furti o rapine (art. 139 n. 3 e 140 n. 3 CP) che di traffico illecito di stupefacenti (art. 19 n. 2 lett. b LStup). Essa presuppone un gruppo strutturato di almeno tre persone, in genere però di più, concepito per durare indipendentemente da una modifica della composi- zione dei suoi effettivi e caratterizzato dalla sottomissione a determinate regole, da una sistematica ripartizione dei compiti, da un approccio professionale a tutti gli stadi della sua attività criminale e dall’opacità verso l’esterno. La mancanza di trasparenza verso l’esterno si manifesta altresì mediante la segretezza delle strutture e degli effettivi; non basta tuttavia la discrezione generalmente asso- ciata a qualsiasi comportamento delittuoso: occorre una dissimulazione qualifi- cata e sistematica (DTF 132 IV 132 consid. 4.1.1). L’organizzazione deve inoltre perseguire lo scopo di commettere atti di violenza criminali o di arricchirsi con mezzi criminali. L’arricchimento con mezzi criminali presuppone la volontà dell’organizzazione di ottenere vantaggi patrimoniali illegali mediante attività sussumibili sotto la nozione di crimine ai sensi dell’art. 10 cpv. 2 CP (risp. art. 9 cpv. 1 vCP), come ad esempio reati qualificati come crimini contro il patrimonio o come crimini giusta l’art. 19 n. 2 LStup (DTF 129 IV 271 consid. 2.3.1 pag. 274). Non è tuttavia necessario che l’attività dell’organizzazione si esauri- sca nella commissione di crimini, a condizione che quest’ultimi costituiscano</w:t>
      </w:r>
    </w:p>
    <w:p>
      <w:r>
        <w:t>- 9 -</w:t>
      </w:r>
    </w:p>
    <w:p>
      <w:r>
        <w:t>perlomeno una parte essenziale dell’intera attività (sentenza del Tribunale fe- derale 6P.166/2006 del 23 ottobre 2006, consid. 5.1; TPF 2008 80 con- sid. 4.2.1). Riassumendo un’organizzazione criminale ai sensi dell’art. 260ter CP è caratterizzata da quattro elementi: il numero di partecipanti, la struttura orga- nizzativa, la legge dell’omertà e lo scopo criminale (BERNARD CORBOZ, Les in- fractions en droit suisse, vol. II, Berna 2002, n. 1 ad art. 260ter CP). Secondo giurisprudenza e dottrina corrispondono in particolare alla nozione di organiz- zazione criminale sia le associazioni di stampo mafioso che quelle finalizzate al terrorismo (DTF 132 IV 132 consid. 4.1.2; TPF 2008 80 consid. 4.2.1 pag. 82; HANS VEST, Delikte gegen den öffentlichen Frieden [Art. 258 – 263 StGB], Com- mentario, Berna 2007, n. 15 ad art. 260ter CP). La Corte penale del Tribunale penale federale ha già avuto modo di affermare che l’organizzazione denomi- nata ‘ndrangheta calabrese corrisponde oggettivamente alla nozione di orga- nizzazione criminale così come sviluppata dalla giurisprudenza e dalla dottrina (v. TPF 2010 29 consid. 3.1).</w:t>
      </w:r>
    </w:p>
    <w:p>
      <w:r>
        <w:rPr>
          <w:b/>
        </w:rPr>
        <w:t>E. 4.3</w:t>
      </w:r>
    </w:p>
    <w:p>
      <w:r>
        <w:t>Ora, visto quanto precede e ribadito come il ricorrente sia indagato in Italia per il reato di associazione per delinquere di stampo mafioso, e più precisamente di appartenenza alla ‘ndrangheta calabrese (v. consid. 3.2 supra), la sussi- stenza del requisito della doppia punibilità è pacifica. La censura in questo am- bito va quindi respinta.</w:t>
      </w:r>
    </w:p>
    <w:p>
      <w:r>
        <w:rPr>
          <w:b/>
        </w:rPr>
        <w:t>E. 5</w:t>
      </w:r>
    </w:p>
    <w:p>
      <w:r>
        <w:t>L’insorgente sostiene che l’assistenza debba essere rifiutata anche in applica- zione del principio ne bis in idem. Inoltre, essendo il baricentro degli atti conte- statigli in Svizzera, è in questo Paese ch’egli dovrebbe essere semmai giudi- cato.</w:t>
      </w:r>
    </w:p>
    <w:p>
      <w:r>
        <w:rPr>
          <w:b/>
        </w:rPr>
        <w:t>E. 5.1</w:t>
      </w:r>
    </w:p>
    <w:p>
      <w:r>
        <w:t>Secondo l’art. 54 CAS una persona che sia stata giudicata con sentenza defi- nitiva in una Parte contraente non può essere sottoposta ad un procedimento penale per i medesimi fatti in un’altra Parte contraente a condizione che, in caso di condanna, la pena sia stata eseguita o sia effettivamente in corso di esecu- zione attualmente o, secondo la legge dello Stato contraente di condanna, non possa più essere eseguita. Inoltre, l’art. III paragrafo 1 Accordo italo-svizzero prevede che l’assistenza giudiziaria è rifiutata se la domanda concerne fatti sulla base dei quali la persona perseguita è stata definitivamente assolta nel merito o condannata nello Stato richiesto per un reato corrispondente per quanto riguarda l’essenziale, a condizione che la sanzione penale eventual- mente pronunciata sia in corso di esecuzione o sia stata già eseguita. Giusta il paragrafo 2 della medesima disposizione l’assistenza giudiziaria può tuttavia essere concessa: se i fatti oggetto della sentenza siano stati commessi nel ter- ritorio dello Stato richiedente in tutto o in parte, salvo che, in quest’ultimo caso, gli stessi siano stati commessi in parte anche nel territorio dello Stato richiesto</w:t>
      </w:r>
    </w:p>
    <w:p>
      <w:r>
        <w:t>- 10 -</w:t>
      </w:r>
    </w:p>
    <w:p>
      <w:r>
        <w:t>(lett. a); se i fatti oggetto della sentenza costituiscono un reato contro la sicu- rezza o contro altri interessi essenziali dello Stato richiedente (lett. b); se i fatti oggetto della sentenza sono stati commessi da un pubblico ufficiale dello Stato richiedente in violazione dei suoi doveri d’ufficio (lett. c). Il paragrafo 3 di tale norma prevede che comunque il paragrafo 1 non si applica se: il procedimento instaurato nello Stato richiedente non è diretto unicamente contro la persona indicata al paragrafo 1 (lett. a); o l’esecuzione della richiesta è tale da discol- parla (lett. b). Infine, conformemente all’art. 66 AIMP, l’assistenza può essere negata se la persona perseguita dimora in Svizzera e quivi è già in corso un procedimento penale per il fatto cui si riferisce la domanda (cpv. 1). L’assistenza giudiziaria può essere tuttavia concessa qualora il procedimento all’estero non sia diretto esclusivamente contro la persona perseguita che dimora in Svizzera o qualora il disbrigo della domanda serva a sua discolpa (cpv. 2).</w:t>
      </w:r>
    </w:p>
    <w:p>
      <w:r>
        <w:rPr>
          <w:b/>
        </w:rPr>
        <w:t>E. 5.2</w:t>
      </w:r>
    </w:p>
    <w:p>
      <w:r>
        <w:t>Nella fattispecie si rileva che, da una parte, né in Svizzera né in Italia vi è una sentenza definitiva, condizione imprescindibile perché possa esservi una viola- zione del principio ne bis in idem (v. anche PAUL-LUKAS GOOD, Die Schengen- Assozierung der Schweiz, tesi di laurea, San Gallo 2010, pag. 93 e riferimenti), dall’altra, non essendo il procedimento in Italia diretto esclusivamente contro il ricorrente, nulla osta alla concessione dell’assistenza (v. anche sentenza del Tribunale federale 1C_298/2014 del 12 giugno 2014, consid. 1.3), questo indi- pendentemente dalla questione della giurisdizione svizzera sollevata dal ricor- rente. Le censure in questo ambito vanno quindi anch’esse disattese.</w:t>
      </w:r>
    </w:p>
    <w:p>
      <w:r>
        <w:rPr>
          <w:b/>
        </w:rPr>
        <w:t>E. 6</w:t>
      </w:r>
    </w:p>
    <w:p>
      <w:r>
        <w:t>Per quanto attiene alla pertinenza della documentazione e degli oggetti litigiosi per le indagini estere, occorre rilevare che la questione di sapere se le informa- zioni richieste nell'ambito di una domanda di assistenza siano necessarie o utili per il procedimento estero deve essere lasciata, di massima, all'apprezzamento delle autorità richiedenti. Lo Stato richiesto non dispone infatti dei mezzi per pronunciarsi sull'opportunità di assumere determinate prove e non può sosti- tuirsi in questo compito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domanda appaia abusiva, le informazioni richieste essendo del tutto inidonee a far pro- gredire le indagini (DTF 122 II 134 consid. 7b; 121 II 241 consid. 3a). In base alla giurisprudenza l'esame va quindi limitato alla cosiddetta utilità potenziale, secondo cui la consegna giusta l'art. 74 AIMP è esclusa soltanto per quei mezzi di prova certamente privi di rilevanza per il procedimento penale all'estero (DTF 126 II 258 consid. 9c pag. 264; 122 II 367 consid. 2c; 121 II 241 consid. 3a e b).</w:t>
      </w:r>
    </w:p>
    <w:p>
      <w:r>
        <w:t>- 11 -</w:t>
      </w:r>
    </w:p>
    <w:p>
      <w:r>
        <w:t>In concreto, visto quanto già esposto in precedenza (v. Fatti lett. A e consid. 3.2 supra), le intercettazioni ambientali e i rapporti di polizia effettuati dall’autorità inquirente elvetica, nonché gli oggetti e la documentazione rinvenuta al domici- lio del ricorrente presentano senz'altro un'utilità potenziale per il procedimento estero, essendoci una sufficiente relazione tra le misure d'assistenza richieste e l'oggetto del procedimento penale italiano. Trattandosi di un’inchiesta ten- dente ad accertare l’esistenza di un’organizzazione criminale, quanto raccolto dalle autorità elvetiche potrebbe permettere di ricostruire e approfondire i vari legami tra le persone coinvolte e le funzioni assunte dai singoli indagati. Benché atti procedurali e non mezzi di prova – il principio è che solo quest’ultimi vanno normalmente trasmessi alle autorità estere (cfr. ZIMMERMANN, op. cit., pag. 309, con giurisprudenza citata alla nota 606) –, le richieste di approvazione e di pro- roga della videosorveglianza del Club D. di Wängi con le relative decisioni della Corte dei reclami penali del Tribunale penale federale e del Giudice dei provve- dimenti coercitivi sono anch’esse da trasmettere all’autorità rogante, dato che tali documenti suffragano la legalità di tali misure (v. sentenza del Tribunale federale 6B_125/2013 e 6B_140/2013 del 23 settembre 2013, consid. 2.1). Spetterà comunque al giudice estero del merito valutare se da quanto tra- smesso emerge in concreto una connessione penalmente rilevante fra i fatti perseguiti in Italia e quanto consegnato. Alla luce della domanda rogatoriale e dei relativi complementi, che ben specificano la fattispecie oggetto di indagine, risulta che tutti i documenti e oggetti di cui sopra sono potenzialmente utile per l’inchiesta estera, motivo per cui la sua trasmissione rispetta il principio della proporzionalità.</w:t>
      </w:r>
    </w:p>
    <w:p>
      <w:r>
        <w:rPr>
          <w:b/>
        </w:rPr>
        <w:t>E. 7</w:t>
      </w:r>
    </w:p>
    <w:p>
      <w:r>
        <w:t>In definitiva, la decisione impugnata va integralmente confermata ed il gravame respinto.</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a complessivi fr. 4’000.--; essa è coperta dall’anticipo delle spese di fr. 4'000.--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