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RR.2016.113 vom 18. August 2016</w:t>
      </w:r>
    </w:p>
    <w:p>
      <w:r>
        <w:t>Bundesstrafgericht, 2016-08-18, FR</w:t>
      </w:r>
    </w:p>
    <w:p>
      <w:r>
        <w:rPr>
          <w:b/>
        </w:rPr>
        <w:t xml:space="preserve">Quelle: </w:t>
      </w:r>
      <w:r>
        <w:t>https://mcp.opencaselaw.ch/entscheid/bstger_RR.2016.113</w:t>
      </w:r>
    </w:p>
    <w:p>
      <w:r>
        <w:t>FR: TPF RR.2016.113 du 18 août 2016</w:t>
      </w:r>
    </w:p>
    <w:p>
      <w:r>
        <w:t>IT: TPF RR.2016.113 del 18 agosto 2016</w:t>
      </w:r>
    </w:p>
    <w:p>
      <w:pPr>
        <w:pStyle w:val="Heading2"/>
      </w:pPr>
      <w:r>
        <w:t>Regeste</w:t>
      </w:r>
    </w:p>
    <w:p>
      <w:r>
        <w:t>Entraide judiciaire internationale en matière pénale à l'Allemagne. Remise de moyens de preuves (art. 74 EIMP).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mars 2008); en matière de procédure administrative, les frais de la procédure sont mis à la charge de la partie qui succombe (art. 63 al. 1 PA en lien avec l’art. 64 al. 1 PA); en l’espèce, le MP-GE qui a révoqué la décision entreprise – ce qui équivaut à un acquiescement – doit être considéré comme la partie qui succombe (arrêts du Tribunal pénal fédéral RR.2014.91 du 26 mars 2014; RR.2013.139 du 15 août 2013; BOVAY, Procédure administrative, 2e éd., Berne 2015, p. 644, 645); toutefois, des frais ne peuvent être mis à la charge du MP-GE (art. 63 al. 2 PA), de sorte que le présent arrêt sera rendu sans frais; l'avance de frais acquittée sera intégralement restituée à la recourante; la partie ayant entièrement ou partiellement gain de cause a en principe droit à une indemnité pour les frais indispensables et relativement élevés qui lui ont été occasionnés (art. 64 al. 1 PA); les honoraires sont fixés en fonction du temps effectivement consacré à la cause et nécessaire à la défense de la partie représentée (art. 12 al. 1 du Règlement du Tribunal pénal fédéral du 31 août 2010 sur les frais, émoluments, dépens et indemnités de la procédure pénale fédérale [RFPPF], RS 173.713.162), le tarif horaire, allant de CHF 200.-- au minimum à CHF 300.-- au maximum (art. 12 al. 1 RFPPF), étant précisé que le tarif usuellement appliqué par la Cour de céans est de CHF 230.-- (arrêt du Tribunal pénal fédéral RR.2016.39 du 25 mai 2016 et référence citée);</w:t>
      </w:r>
    </w:p>
    <w:p>
      <w:r>
        <w:t>- 4 -</w:t>
      </w:r>
    </w:p>
    <w:p>
      <w:r>
        <w:t>en l’espèce, l’avocat de la recourante a fait parvenir sa note d’honoraires à la Cour, précisant que la rédaction du recours « a nécessité 14.3 heures de travail au taux horaire de CHF 420.--», ce qui représente, TVA comprise, un montant de CHF 6'486.50; au vu de la pratique de la Cour, il y a toutefois lieu de réduire le taux horaire retenu par l’avocat à CHF 230.--; au surplus, au vu de la nature de l'affaire et de la difficulté de la cause, il sied de retenir in casu un temps de travail total de 8 heures, ce qui correspond à une indemnité, hors TVA, de CHF 1'840.--.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