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RR.2016.106 vom 30. November 2016</w:t>
      </w:r>
    </w:p>
    <w:p>
      <w:r>
        <w:t>Bundesstrafgericht, 2016-11-30, IT</w:t>
      </w:r>
    </w:p>
    <w:p>
      <w:r>
        <w:rPr>
          <w:b/>
        </w:rPr>
        <w:t xml:space="preserve">Quelle: </w:t>
      </w:r>
      <w:r>
        <w:t>https://mcp.opencaselaw.ch/entscheid/bstger_RR.2016.106</w:t>
      </w:r>
    </w:p>
    <w:p>
      <w:r>
        <w:t>FR: TPF RR.2016.106 du 30 novembre 2016</w:t>
      </w:r>
    </w:p>
    <w:p>
      <w:r>
        <w:t>IT: TPF RR.2016.106 del 30 novembre 2016</w:t>
      </w:r>
    </w:p>
    <w:p>
      <w:pPr>
        <w:pStyle w:val="Heading2"/>
      </w:pPr>
      <w:r>
        <w:t>Regeste</w:t>
      </w:r>
    </w:p>
    <w:p>
      <w:r>
        <w:t>Assistenza giudiziaria internazionale in materia penale all'Italia. Consegna a scopo di confisca (art. 74a AIMP). Assistenza giudiziaria gratuita (art. 65 PA).</w:t>
      </w:r>
    </w:p>
    <w:p>
      <w:pPr>
        <w:pStyle w:val="Heading2"/>
      </w:pPr>
      <w:r>
        <w:t>Erwägungen</w:t>
      </w:r>
    </w:p>
    <w:p>
      <w:r>
        <w:rPr>
          <w:b/>
        </w:rPr>
        <w:t>E. 1.1</w:t>
      </w:r>
    </w:p>
    <w:p>
      <w:r>
        <w:t>In virtù dell’art. 37 cpv. 2 lett. a della legge federale del 19 marzo 2010 sull'or- ganizzazione delle autorità penali della Confederazione (LOAP; RS 173.71), la Corte dei reclami penali del Tribunale penale federale giudica i gravami in ma- 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w:t>
      </w:r>
    </w:p>
    <w:p>
      <w:r>
        <w:t>- 5 -</w:t>
      </w:r>
    </w:p>
    <w:p>
      <w:r>
        <w:t>agevola l'applicazione della CEAG (RS 0.351.945.41), entrato in vigore me- diante scambio di note il 1° giugno 2003 (di seguito: l'Accordo italo-svizzero), nonché, a partire dal 12 dicembre 2008 (Gazzetta ufficiale dell’Unione europea, L 327/15-17, del 5 dicembre 2008), dagli art. 48 e segg. della Convenzione di applicazione dell'Accordo di Schengen del 14 giugno 1985 (CAS; testo non pubblicato nella RS ma consultabile nel fascicolo "Assistenza e estradizione" edito dalla Cancelleria federale, Berna 2014). Di rilievo nella fattispecie sono anche la Convenzione delle Nazioni Unite contro il traffico illecito di stupefacenti e di sostanze psicotrope, conclusa a Vienna il 20 dicembre 1988, entrata in vigore il 13 dicembre 2005 per la Svizzera e il 31 marzo 1991 per l'Italia (Con- venzione delle Nazioni Unite del 1988; RS 0.812.121.03) e la Convenzione sul riciclaggio,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trattati non regola espressamente o implicitamente, come pure quando il diritto nazionale sia più favorevole all'assistenza rispetto a quello convenzionale (cosiddetto principio di favore), si applicano la legge federale sull'assistenza internazionale in materia penale del 20 marzo 1981 (AIMP; RS 351.1), unitamente alla relativa ordinanza (OAIMP; RS 351.11; v. art. 1 cpv. 1 AIMP, art. I n. 2 Accordo italo-svizzero; DTF 140 IV 123 consid. 2; 137 IV 33 consid. 2.2.2; 136 IV 82 consid. 3.1; 135 IV 212 consid. 2.3; 123 II 134 consid. 1a; 122 II 140 consid. 2). Il principio di favore vale anche nell'applicazione delle pertinenti norme di diritto internazio- nale (v. art. 48 n. 2 CAS, art. 10 n. 3 Convenzione delle Nazioni Unite, art. 39 n. 3 CRic e art. I n. 2 Accordo italo-svizzero). È fatto 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di cui al precedente conside- rando (art. 39 cpv. 2 lett. b LOAP e 12 cpv. 1 AIMP).</w:t>
      </w:r>
    </w:p>
    <w:p>
      <w:r>
        <w:rPr>
          <w:b/>
        </w:rPr>
        <w:t>E. 1.4</w:t>
      </w:r>
    </w:p>
    <w:p>
      <w:r>
        <w:t>Interposto tempestivamente contro la sopraccitata decisione dell’autorità fede- rale d’esecuzione, il ricorso è ricevibile sotto il profilo degli art. 25 cpv. 1, 80e cpv. 1 e 80k AIMP. La ricorrente è titolare della relazione bancaria oggetto della decisione impugnata ed è di conseguenza legittimata a ricorrere (v. art. 9a lett. a OAIMP nonché DTF 137 IV 134 consid. 5.2.1; 130 II 162 consid. 1.1; 128 II 211 consid. 2.3; TPF 2007 79 consid. 1.6 pag. 82).</w:t>
      </w:r>
    </w:p>
    <w:p>
      <w:r>
        <w:rPr>
          <w:b/>
        </w:rPr>
        <w:t>E. 2.1</w:t>
      </w:r>
    </w:p>
    <w:p>
      <w:r>
        <w:t>La ricorrente censura innanzitutto la violazione, nell’ambito del procedimento penale italiano alla base della decisione di confisca, del diritto di essere sentiti (act. 1 pag. 7 e segg.). Più precisamente, essa sostiene di non essere mai stata</w:t>
      </w:r>
    </w:p>
    <w:p>
      <w:r>
        <w:t>- 6 -</w:t>
      </w:r>
    </w:p>
    <w:p>
      <w:r>
        <w:t>parte nel suddetto procedimento e di non essere mai stata sentita, soprattutto in merito all’origine dei beni che si trovano sulla relazione bancaria litigiosa, ciò che sarebbe provato dagli atti del procedimento estero, di cui chiede l’acquisi- zione a titolo cautelativo (act. 1 pag. 8). La violazione del diritto di essere sentiti comporterebbe altresì irricevibilità della domanda ai sensi dell’art. 2 AIMP (act. 1 pag. 13).</w:t>
      </w:r>
    </w:p>
    <w:p>
      <w:r>
        <w:rPr>
          <w:b/>
        </w:rPr>
        <w:t>E. 2.2</w:t>
      </w:r>
    </w:p>
    <w:p>
      <w:r>
        <w:t>L'art. 2 AIMP ha quale scopo di evitare che la Svizzera presti assistenza a pro- cedure che non garantirebbero alla persona perseguita uno standard di prote- zione minimo corrispondente a quello concesso dal diritto degli Stati democra- tici, definito in particolare dalla CEDU e dal Patto ONU II, o che sarebbero in contrasto con norme riconosciute come appartenenti all'ordine pubblico inter- nazionale (DTF 123 II 161 consid. 6a; 122 II 140 consid. 5a).</w:t>
      </w:r>
    </w:p>
    <w:p>
      <w:r>
        <w:t>Secondo l'art. 2 lett. a AIMP la domanda di cooperazione in materia penale è irricevibile se vi è motivo di credere che il procedimento all'estero non corri- sponda ai principi procedurali della CEDU o del Patto ONU II. L'esame delle condizioni poste dalla disposizione in questione implica un giudizio di valore sugli affari interni dello Stato richiedente, in particolare sul suo regime politico, sulle sue istituzioni, sulla sua concezione dei diritti fondamentali e il loro rispetto effettivo, nonché sull'indipendenza e l'imparzialità del potere giudiziario. Il giu- dice dell'assistenza deve dar prova a tal proposito di una prudenza particolare (DTF 130 II 217 consid. 8.1). Il rispetto delle garanzie procedurali vale per tutti gli aspetti legati ad un processo equo, segnatamente la parità delle armi, il diritto di essere sentito nonché la presunzione d'innocenza. Su tali punti, tuttavia, solo delle circostanze chiare e appurate costituiscono motivo di rifiuto della coope- razione (v. sentenza del Tribunale federale 1A.54/1994 del 27 aprile 1994, con- sid. 2a; R. ZIMMERMANN, La coopération judiciaire internationale en matière pé- nale, 4a ediz., Berna 2014, pag. 702 n. 683 e rinvii).</w:t>
      </w:r>
    </w:p>
    <w:p>
      <w:r>
        <w:rPr>
          <w:b/>
        </w:rPr>
        <w:t>E. 2.3</w:t>
      </w:r>
    </w:p>
    <w:p>
      <w:r>
        <w:t>Nella fattispecie, dal decreto 22 maggio 2013 emanato dal Tribunale ordinario di Aosta risulta che sia B. che la ricorrente hanno avuto, nell’ambito della pro- cedura di prevenzione patrimoniale e personale a carico del primo, la possibilità di esprimersi sull’origine dei beni mobili ed immobili formalmente intestati alla ricorrente, e quindi anche sui valori depositati sulla relazione bancaria n. 1 presso la banca C. di Martigny (v. act. 7.4 pag. 22 e seg.). Nessuna delle per- sone in questione ha in definitiva fornito la prova della provenienza lecita dei beni in questione (v. act. 7.4 pag. 24). Per tacere del fatto che la ricorrente ha avuto a disposizione, utilizzandoli, ben tre gradi di giudizio per esprimersi sul conto in parola o per far valere ulteriori eventuali violazioni di natura procedurale (v. act. 7.3). Non vi è altresì nessuna ragione per ritenere che il procedimento all’estero non abbia corrisposto ai principi procedurali della CEDU o del Patto ONU II. Di conseguenza, le censure presentate in questo ambito non possono</w:t>
      </w:r>
    </w:p>
    <w:p>
      <w:r>
        <w:t>- 7 -</w:t>
      </w:r>
    </w:p>
    <w:p>
      <w:r>
        <w:t>trovare accoglimento. La richiesta formulata dalla ricorrente di acquisire agli atti la documentazione del procedimento italiano va quindi anch’essa respinta.</w:t>
      </w:r>
    </w:p>
    <w:p>
      <w:r>
        <w:rPr>
          <w:b/>
        </w:rPr>
        <w:t>E. 3.1</w:t>
      </w:r>
    </w:p>
    <w:p>
      <w:r>
        <w:t>La ricorrente sostiene che la procedura in questione sarebbe inoltre lesiva del principio della legalità, del diritto di proprietà e della presunzione di innocenza (act. 1 pag. 9 e segg.).</w:t>
      </w:r>
    </w:p>
    <w:p>
      <w:r>
        <w:rPr>
          <w:b/>
        </w:rPr>
        <w:t>E. 3.2</w:t>
      </w:r>
    </w:p>
    <w:p>
      <w:r>
        <w:t>Già dalla TPF 2010 158 questo Tribunale ha avuto più volte occasione di riba- dire l’ammissibilità di misure di assistenza fondate sulla procedura di preven- zione patrimoniale italiana. A tale invalsa giurisprudenza può qui essere rin- viato. Tutte le riserve costituzionali in questione sono state infatti affrontate in detta giurisprudenza, che viene citata dalla stessa ricorrente (v. act. pag. 9) omettendo però di apportare ragioni per scostarsene nel caso concreto. Esso rientra nella casistica tradizionale e non vi è nessuna ragione per mettere in discussione le conclusioni di cui nella TPF 2010 158.</w:t>
      </w:r>
    </w:p>
    <w:p>
      <w:r>
        <w:rPr>
          <w:b/>
        </w:rPr>
        <w:t>E. 3.3</w:t>
      </w:r>
    </w:p>
    <w:p>
      <w:r>
        <w:t>Giusta l’art. 74a cpv. 1 AIMP gli oggetti o i beni sequestrati a scopo conservativo possono essere consegnati su richiesta all’autorità estere competente a scopo di confisca o di restituzione agli aventi diritto dopo la chiusura della procedura d’assistenza giudiziaria. La consegna può avvenire in ogni stadio del procedi- mento estero, di regola su decisione passata in giudicato ed esecutiva dello Stato richiedente (cpv. 3). Nel caso concreto sussiste pacificamente una deci- sione passata in giudicato per cui anche sotto questo profilo nulla osta ad una consegna. Giusta l'art. 74a cpv. 4 lett. c AIMP gli oggetti o i beni possono essere trattenuti in Svizzera se una persona estranea al reato, le cui pretese non sono garantite dallo Stato richiedente, rende verosimile di aver acquisito in buona fede diritti su tali oggetti o beni in Svizzera o, in quanto dimorante abitualmente in Svizzera, all'estero. Ora, dagli atti dell’incarto non risulta che la ricorrente abbia acquisito i beni litigiosi in Svizzera. Anzi, nel gravame si afferma che il denaro depositato sul conto sarebbe costituito da risparmi, proventi ereditari e somme di invalidità concesse al figlio della ricorrente in Italia (v. act. 1 pag. 2). Neppure ossequiata è inoltre la condizione della residenza in Svizzera, dato che la ricorrente vive ad Aosta. Per quanto attiene poi alla buona fede, il Tribunale ordinario di Aosta ha affermato che il cospicuo patrimonio, di origine oscura, riconducibile a B., costituito anche da somme di denaro occultate presso istituti bancari elvetici, non può che essere ricollegato a lucrose attività illecite com- messe dal predetto, risultando in ogni caso di entità del tutto sproporzionata rispetto ai redditi prodotti lecitamente da B. e dal suo nucleo familiare (v. act. 7.4 pag. 5 e 11). Sui valori depositati in Svizzera, che l’autorità italiana ha ricondotto chiaramente a B., il tribunale italiano ha affermato che “escludendo apporti nel tempo dovuti ad eventuali risparmi della famiglia o ai proventi ricavati dall’attività svolta in nero dal proposto (…), l’unica ragione della clandestina costituzione</w:t>
      </w:r>
    </w:p>
    <w:p>
      <w:r>
        <w:t>- 8 -</w:t>
      </w:r>
    </w:p>
    <w:p>
      <w:r>
        <w:t>da parte del proposto della provvista in Svizzera, dissimulata vuoi mediante il ricorso a prestanome scelti nella cerchia famigliare, vuoi mediante lo schermo della società fiduciaria del Lichtenstein, è quella di sottrarre al controllo delle Autorità italiane somme di danaro frutto di attività illecite che, ove depositate su conti italiani, sarebbero state di sicuro oggetto di accertamenti circa la loro pro- venienza” (act. 7.4 pag. 15). Ora, la sproporzione di cui sopra unitamente al ruolo di prestanome dei familiari di B. sono elementi che permettono di esclu- dere un’eventuale buona fede della ricorrente nell’acquisizione dei beni litigiosi. In definitiva, visto tutto quanto precede, l’art. 74a cpv. 4 lett. c AIMP risulta inap- plicabile (v. anche ZIMMERMANN, op. cit., n. 340; cfr. anche L. MOREILLON, En- traide internationale en matière pénale, Basilea/Monaco/Ginevra 2004, n. 39 ad art. 74a AIMP), per cui anche sotto questo profilo la decisione impugnata merita tutela.</w:t>
      </w:r>
    </w:p>
    <w:p>
      <w:r>
        <w:rPr>
          <w:b/>
        </w:rPr>
        <w:t>E. 4</w:t>
      </w:r>
    </w:p>
    <w:p>
      <w:r>
        <w:t>La ricorrente censura infine la violazione del principio della proporzionalità, nel senso che, a suo dire, contrariamente a quanto asserito dal MPC, il quale su tale punto non avrebbe motivato sufficientemente la propria decisione, non vi sarebbe nessun legame tra il procedimento italiano alla base della rogatoria, concernente terze persone, e i suoi averi oggetto di confisca, i quali sarebbero confluiti sul suo conto in un periodo ben precedente rispetto ai fatti criminosi per cui è stato condannato B. (act. 1 pag. 10 e seg.).</w:t>
      </w:r>
    </w:p>
    <w:p>
      <w:r>
        <w:rPr>
          <w:b/>
        </w:rPr>
        <w:t>E. 4.1</w:t>
      </w:r>
    </w:p>
    <w:p>
      <w:r>
        <w:t>Nel suo Messaggio del 30 giugno 1993 concernente la modifica del Codice pe- nale che ha condotto all'introduzione della cifra 3 dell'art. 59 vCP (FF 1993 III pag. 193 e segg.), norma oggi prevista all'art. 72 CP, il Consiglio federale ha sottolineato che tale nuova disposizione ha come scopo di derogare alla regola, applicabile sia in diritto interno che in quello dell'assistenza giudiziaria, secondo la quale un valore può essere confiscato soltanto se è possibile identificare il reato dal quale proviene. Per quanto concerne l'organizzazione criminale, la confisca si estende a tutti i valori di cui essa ha facoltà di disporre. Questo si spiega con il fatto che, se gli averi in questione dipendono da un'organizzazione criminale, ciò vuol dire che essi provengono con ogni probabilità anche da un'at- tività criminale (FF 1993 III pag. 226). Il Consiglio federale ha giustificato l'ado- zione di una regola specifica in questo ambito, segnatamente a causa del biso- gno di facilitare l'assistenza giudiziaria e l'esecuzione di confische estere riguar- danti valori patrimoniali portati in Svizzera da organizzazioni criminali (v. ibidem, pag. 227). Ne consegue che l'art. 59 n. 3 seconda frase vCP (oggi l'art. 72 se- conda frase CP) si applica anche nel campo dell'assistenza giudiziaria (DTF 131 II 169 consid. 9.1 pag. 183). I fondi che dipendono da un'organizzazione criminale sono presunti di origine delittuosa a meno che i detentori dimostrino il contrario (v. anche DTF 136 IV 4 consid. 5). Non dovesse essere dimostrata l'origine lecita degli stessi, la consegna è ordinata in applicazione dell'art. 74a</w:t>
      </w:r>
    </w:p>
    <w:p>
      <w:r>
        <w:t>- 9 -</w:t>
      </w:r>
    </w:p>
    <w:p>
      <w:r>
        <w:t>cpv. 3 AIMP, senza ulteriore esame della provenienza dei fondi reclamati (DTF 131 II 169 consid. 9.1 pag. 184).</w:t>
      </w:r>
    </w:p>
    <w:p>
      <w:r>
        <w:rPr>
          <w:b/>
        </w:rPr>
        <w:t>E. 4.2</w:t>
      </w:r>
    </w:p>
    <w:p>
      <w:r>
        <w:t>Nella fattispecie le autorità italiane hanno condannato B. per il suo ruolo in un radicato gruppo criminale organizzato, dedito a traffici internazionali di cocaina, con base operativa in Valle d’Aosta e con collegamenti con importanti narco- traffici colombiani. Si tratta di condotte che, trasposte nel diritto svizzero, rien- trerebbero senz’altro, oltre che nella fattispecie di violazione grave della legge federale sugli stupefacenti (art. 19 n. 2 LStup) in quella di organizzazione crimi- nale ex art. 260ter CP (v. DTF 129 IV 271 consid. 2.3.1 e 2.3.2; TPF 2010 29 consid. 2.3). A seguito di queste condanne è stato aperto a suo carico, con richiesta del 19 dicembre 2012 della Procura di Torino, anche un procedimento per l’applicazione di misure di prevenzione personale e patrimoniali a suo ca- rico. Ciò ha in particolare portato al sequestro e alla confisca di svariati beni a lui riconducibili, misure confermate dopo tre gradi di giudizio (v. già supra con- sid. 2.3). Il fatto che i valori litigiosi siano confluiti sul conto della ricorrente in un periodo ben precedente rispetto ai fatti criminosi per cui è stato condannato B. – la Corte d’appello di Torino afferma tuttavia che il denaro giunto nel 1993 sul conto della ricorrente sarebbe da ricollegare ad una truffa commessa dal pre- detto nel 1992 in danno di un certo D. (v. act. 7.3 pag. 7) –, nulla toglie all’am- missibilità delle misure in esame, visto che tali valori si sono in seguito comun- que ritrovati nel potere di disposizione dell’organizzazione criminale, per il tra- mite dello stesso B., e questo, anche secondo la giurisprudenza nazionale re- lativa all’art. 72 CP (cfr. sentenza del Tribunale penale federale BB.2014.157 del 16 marzo 2015, consid. 3.6), sarebbe comunque sufficiente per una confi- sca. Le autorità italiane hanno infatti accertato che i valori patrimoniali in que- stione, seppur formalmente intestati alla A., erano economicamente riconduci- bili a suo marito B. (v. act. 7.4 pag. 15). Anche in Svizzera se una persona è punibile in virtù dell’art. 260ter CP la facoltà di disporre dell’organizzazione cri- minale è presunta per legge. La persona interessata ha però la possibilità di fornire la prova che invalidi tale presunzione. È una possibilità che la ricorrente ha per l’appunto avuto nella procedura italiana, secondo modalità non molto diverse da quelle che avrebbe in Svizzera una persona toccata da confisca ex art. 72 CP. Come già evidenziato sopra (v. consid. 2.3), tutte le obiezioni in proposito sono state esaustivamente esaminate dalle autorità italiane attra- verso tre gradi di giudizio, dai quali è emersa piena compenetrazione fra i valori qui in esame e le disponibilità dell’organizzazione criminale di cui il marito della ricorrente era una figura di rilievo. Non molto diversamente da quanto sotteso alla legislazione italiana, alla base dell’art. 72 CP vi è l’idea che i valori patrimo- niali che sottostanno alla facoltà di disporre di un’organizzazione criminale sono, da un canto, con grande probabilità d’origine delittuosa e d’altro canto – fatto potenzialmente pericoloso – essi serviranno a commettere altri reati, per- mettendo così all’organizzazione di proseguire l’attività criminale (TPF 2014 31</w:t>
      </w:r>
    </w:p>
    <w:p>
      <w:r>
        <w:t>- 10 -</w:t>
      </w:r>
    </w:p>
    <w:p>
      <w:r>
        <w:t>consid. 4.2). Si tratta di situazioni criminogene per l’appunto accertate dalle au- torità italiane in capo ai valori qui in esame, a prescindere sia da un loro uso effettivo per scopi criminali sia dalla loro origine concreta. A queste condizioni non è dunque ravvisabile alcuna sproporzionalità della misura adottata, che ol- tre a fondarsi su un’indubbia base legale si estende a valori per intero ascrivibili all’organizzazione criminale in parola. Anche le censure presentate in questo ambito vanno dunque respinte, compresa quella relativa alla pretesa insuffi- ciente motivazione della decisione impugnata, dato che il MPC, riprendendo e rinviando ai contenuti delle sentenze italiane nonché alla giurisprudenza sviz- zera sulla procedura di prevenzione italiana, ha spiegato le ragioni alla base della sua decisione in maniera conforme alle esigenze giurisprudenziali (v. ad es. DTF 124 V 180 consid. 1a e 122 II 471 consid. 5c).</w:t>
      </w:r>
    </w:p>
    <w:p>
      <w:r>
        <w:rPr>
          <w:b/>
        </w:rPr>
        <w:t>E. 5</w:t>
      </w:r>
    </w:p>
    <w:p>
      <w:r>
        <w:t>Da quanto sopra discende che il ricorso è da respingere integralmente.</w:t>
      </w:r>
    </w:p>
    <w:p>
      <w:r>
        <w:rPr>
          <w:b/>
        </w:rPr>
        <w:t>E. 6.1</w:t>
      </w:r>
    </w:p>
    <w:p>
      <w:r>
        <w:t>La ricorrente sollecita la concessione del beneficio dell'assistenza giudiziaria e del gratuito patrocinio nella persona dell'avv. Fiorenzo Cotti (v. RP.2016.24).</w:t>
      </w:r>
    </w:p>
    <w:p>
      <w:r>
        <w:rPr>
          <w:b/>
        </w:rPr>
        <w:t>E. 6.2</w:t>
      </w:r>
    </w:p>
    <w:p>
      <w:r>
        <w:t>La persona perseguita può designare un patrocinatore. Se vi prescinde o non è in grado di farlo e la tutela dei suoi interessi lo richiede, le è nominato un patro- cinatore d'ufficio (art. 21 cpv. 1 AIMP). Se una parte non dispone dei mezzi necessari e le sue conclusioni non sembrano prive di probabilità di successo, l'autorità di ricorso, il suo presidente o il giudice dell'istruzione la dispensa, a domanda, dopo il deposito del ricorso, dal pagamento delle spese processuali (art. 65 cpv. 1 PA). Il Tribunale federale ha affermato che prive di probabilità di successo sono conclusioni le cui prospettive di successo sono sensibilmente inferiori a quelle di insuccesso, e che di conseguenza non possono essere de- finite serie. Decisivo è sapere se una parte che dispone dei mezzi finanziari necessari affronterebbe ragionevolmente un processo: chi non è disposto ad affrontare a proprie spese un processo non deve poterlo fare soltanto perché la procedura è gratuita. L'esistenza di sufficienti probabilità di successo va giudi- cata sommariamente in base alle condizioni al momento dell'introduzione della domanda (v. DTF 138 III 217 consid. 2.2.4; 133 III 614 consid. 5; sentenze del Tribunale federale 5A_264/2012 del 6 dicembre 2012, consid. 4.1; 5A_711/2011 del 21 dicembre 2011, consid. 3.1).</w:t>
      </w:r>
    </w:p>
    <w:p>
      <w:r>
        <w:rPr>
          <w:b/>
        </w:rPr>
        <w:t>E. 6.3</w:t>
      </w:r>
    </w:p>
    <w:p>
      <w:r>
        <w:t>Dottrina e giurisprudenza concordano nel ritenere che la parte che richiede l'as- sistenza giudiziaria abbia il dovere di fornire ragguagli completi e, per quanto possibile, comprovati, sul proprio reddito, patrimonio e sull'insieme dei propri oneri finanziari. Le informazioni e i relativi mezzi di prova devono fornire un'im- magine fedele, completa e coerente della situazione finanziaria del richiedente.</w:t>
      </w:r>
    </w:p>
    <w:p>
      <w:r>
        <w:t>- 11 -</w:t>
      </w:r>
    </w:p>
    <w:p>
      <w:r>
        <w:t>In caso contrario l'istanza deve essere respinta, non essendo sufficientemente sostanziato o dimostrato lo stato di indigenza (DTF 125 IV 161 consid. 4a; sen- tenze del Tribunale penale federale RP.2014.62 del 26 agosto 2014, con- sid. 2.1; BH.2006.6 del 18 aprile 2006, consid. 6.1.)</w:t>
      </w:r>
    </w:p>
    <w:p>
      <w:r>
        <w:rPr>
          <w:b/>
        </w:rPr>
        <w:t>E. 6.4</w:t>
      </w:r>
    </w:p>
    <w:p>
      <w:r>
        <w:t>Nella fattispecie, la ricorrente risulta essere disoccupata da diversi anni (v. RP.2016.24 act. 1.3). Con l’atto di ricorso, a corredo della richiesta di gratuito patrocinio, essa ha prodotto copia dell’attestazione ISEE relativa al suo nucleo famigliare (v. RP.2016.24 act. 1.4), la dichiarazione fiscale della figlia E. (v. RP.2016.24 act. 1.5), nonché la dichiarazione di rendita di invalidità a bene- ficio del figlio F. (v. RP.2016.24 act. 1.6). Oltre a ciò, la ricorrente dichiara che tutti i suoi averi sarebbero stati posti sotto sequestro e che tutti i suoi immobili sarebbero stati confiscati (v. RP.2016.24 act. 1, p. 14). Indipendentemente da questo e dall’effettiva coerenza del quadro finanziario che emerge da tale do- cumentazione occorre qui rilevare che le conclusioni presentate dalla ricorrente apparivano sin dall’inizio, alla luce della chiara giurisprudenza (v. in particolare TPF 2010 158) e dei fatti appurati in Italia (confermati, come si è visto, dopo tre gradi di giudizio), prive di probabilità di successo, ragione per cui la domanda di assistenza giudiziaria e di gratuito patrocinio va respinta già solo per questo motivo. Della difficoltà finanziaria della ricorrente si terrà comunque conto nella fissazione delle spese.</w:t>
      </w:r>
    </w:p>
    <w:p>
      <w:r>
        <w:rPr>
          <w:b/>
        </w:rPr>
        <w:t>E. 6.5</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2'000.--.</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