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RR.2016.102 vom 17. Oktober 2016</w:t>
      </w:r>
    </w:p>
    <w:p>
      <w:r>
        <w:t>Bundesstrafgericht, 2016-10-17, FR</w:t>
      </w:r>
    </w:p>
    <w:p>
      <w:r>
        <w:rPr>
          <w:b/>
        </w:rPr>
        <w:t xml:space="preserve">Quelle: </w:t>
      </w:r>
      <w:r>
        <w:t>https://mcp.opencaselaw.ch/entscheid/bstger_RR.2016.102</w:t>
      </w:r>
    </w:p>
    <w:p>
      <w:r>
        <w:t>FR: TPF RR.2016.102 du 17 octobre 2016</w:t>
      </w:r>
    </w:p>
    <w:p>
      <w:r>
        <w:t>IT: TPF RR.2016.102 del 17 ottobre 2016</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w:t>
      </w:r>
    </w:p>
    <w:p>
      <w:r>
        <w:t>- 4 -</w:t>
      </w:r>
    </w:p>
    <w:p>
      <w:r>
        <w:t>Schengen du 14 juin 1985 (CAAS; n° CELEX 42000A0922[02]; Journal offi- ciel de l’Union européenne L 239 du 22 septembre 2000, p. 19 à 62) s’appli- quent également à l’entraide pénale entre la Suisse et le Royaume-Uni (cf.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la loi fédérale du 20 mars 1981 sur l’entraide internationale en matière pénale (EIMP; RS 351.1) et son ordonnance d’exécution (OEIMP; RS 351.11). Celles-ci restent toutefois applicables aux questions qui ne sont pas réglées, explici- tement ou implicitement, par les dispositions conventionnelles (art. 1 al. 1 EIMP), ainsi que lorsqu’elles permettent l’octroi de l’entraide à des conditions plus favorables (ATF 140 IV 123 consid. 2; 137 IV 33 consid. 2.2.2; 130 II 337 consid. 1; 124 II 180 consid. 1a). Le respect des droits fondamentaux est réservé (ATF 135 IV 212 consid. 2.3; 123 II 595 consid. 7c p. 617).</w:t>
      </w:r>
    </w:p>
    <w:p>
      <w:r>
        <w:rPr>
          <w:b/>
        </w:rPr>
        <w:t>E. 1.2</w:t>
      </w:r>
    </w:p>
    <w:p>
      <w:r>
        <w:t>En vertu de l'art. 37 al. 2 let. a de la loi fédérale du 19 mars 2010 sur l'orga- nisation des autorités pénales de la Confédération (LOAP; RS 173.71) mis en relation avec l'art. 25 al. 1 EIMP, la Cour des plaintes du Tribunal pénal fédéral est compétente pour connaître des recours dirigés contre les déci- sions de clôture de la procédure d'entraide pénale rendues par l'autorité fé- dérale d'exécution.</w:t>
      </w:r>
    </w:p>
    <w:p>
      <w:r>
        <w:rPr>
          <w:b/>
        </w:rPr>
        <w:t>E. 1.3</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 sition (cf. notamment arrêt du Tribunal pénal fédéral RR.2015.135-136 du 7 janvier 2016, consid. 1.3).</w:t>
      </w:r>
    </w:p>
    <w:p>
      <w:r>
        <w:rPr>
          <w:b/>
        </w:rPr>
        <w:t>E. 1.4</w:t>
      </w:r>
    </w:p>
    <w:p>
      <w:r>
        <w:t>En l'espèce, la documentation bancaire objet de la décision de clôture porte sur un compte dont la recourante est titulaire (act. 1.2, p. 4 et 7; dossier MPC, p. 101.001.01.E-0002). La qualité pour recourir doit donc lui être reconnue.</w:t>
      </w:r>
    </w:p>
    <w:p>
      <w:r>
        <w:rPr>
          <w:b/>
        </w:rPr>
        <w:t>E. 1.5</w:t>
      </w:r>
    </w:p>
    <w:p>
      <w:r>
        <w:t>Le délai de recours contre la décision de clôture est de 30 jours dès la com- munication écrite de celle-ci (art. 80k EIMP). Déposé à un bureau de poste suisse le 20 juin 2016, le recours contre la décision du 19 mai 2016 est in- tervenu en temps utile (act. 1 et 1.2).</w:t>
      </w:r>
    </w:p>
    <w:p>
      <w:r>
        <w:t>- 5 -</w:t>
      </w:r>
    </w:p>
    <w:p>
      <w:r>
        <w:rPr>
          <w:b/>
        </w:rPr>
        <w:t>E. 2.1</w:t>
      </w:r>
    </w:p>
    <w:p>
      <w:r>
        <w:t>La recourante fait valoir une violation du principe de la double incrimination. Elle explique que rien ne permet au stade actuel de l'enquête de retenir que B. aurait bénéficié d'une information d'initié. Elle ajoute également que les soupçons relatifs à la transmission de telles informations se fonderaient uni- quement sur les liens d'amitié qui uniraient B. et C. (act. 1, p. 9 s.).</w:t>
      </w:r>
    </w:p>
    <w:p>
      <w:r>
        <w:rPr>
          <w:b/>
        </w:rPr>
        <w:t>E. 2.2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Le droit interne (art. 28 EIMP) pose des exigences équivalentes, en- core précisées par l'art. 10 al. 2 OEIMP selon lequel doivent en tout cas fi- gurer le lieu, la date et le mode de commission de l'infraction (arrêt du Tribu- nal fédéral 1A.145/2006 du 15 septembre 2006, consid. 2.1). Selon la juris- 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 blies (ATF 126 II 495 consid. 5e/aa p. 501; 118 Ib 111 consid. 5b; arrêt du Tribunal pénal fédéral RR.2014.75-76 du 5 septembre 2014, consid. 5.2). De plus, il convient de préciser que l’entraide vise non seulement à recueillir des preuves à charge, mais également à décharge (arrêts du Tribunal pénal fé- déral RR.2015.71 du 12 août 2015, consid. 2.2; RR.2008.287 du 9 avril 2009, consid. 2.2.4 et la jurisprudence citée).</w:t>
      </w:r>
    </w:p>
    <w:p>
      <w:r>
        <w:rPr>
          <w:b/>
        </w:rPr>
        <w:t>E. 2.3</w:t>
      </w:r>
    </w:p>
    <w:p>
      <w:r>
        <w:t>En droit suisse, l'exploitation d'informations d'initiés est punie par l'art. 154 de la loi fédérale du 19 juin 2015 sur les infrastructures des marchés finan- ciers et le comportement sur le marché en matière de négociation de valeurs mobilières et de dérivés (LIMF; RS 958.1). Cette disposition prévoit qu'est puni d'une peine privative de liberté de trois ans au plus ou d'une peine pé- cuniaire quiconque, en qualité d'organe ou de membre d'un organe de direc- tion ou de surveillance d'un émetteur ou d'une société contrôlant l'émetteur</w:t>
      </w:r>
    </w:p>
    <w:p>
      <w:r>
        <w:t>- 6 -</w:t>
      </w:r>
    </w:p>
    <w:p>
      <w:r>
        <w:t>ou contrôlée par celui-ci, ou en tant que personne qui a accès à des infor- mations d'initiés en raison de sa participation ou de son activité, obtient pour lui-même ou pour un tiers un avantage pécuniaire en utilisant une informa- tion d'initié. Cela en l'exploitant pour acquérir ou aliéner des valeurs mobi- lières admises à la négociation sur une plate-forme de négociation en Suisse, ou pour utiliser des dérivés relatifs à ces valeurs (let. a), en la divul- guant à un tiers (let. b) ou en l'exploitant pour recommander à un tiers l'achat ou la vente de valeurs mobilières admises à la négociation sur une plate- forme de négociation en Suisse ou l'utilisation de dérivés relatifs à ces va- leurs (let. c). Selon l'art. 2 let. j LIMF, une information d'initié s'entend de toute information confidentielle dont la divulgation est susceptible d'influen- cer notablement le cours de valeurs mobilières admises à la négociation sur une plate-forme de négociation en Suisse.</w:t>
      </w:r>
    </w:p>
    <w:p>
      <w:r>
        <w:rPr>
          <w:b/>
        </w:rPr>
        <w:t>E. 2.4</w:t>
      </w:r>
    </w:p>
    <w:p>
      <w:r>
        <w:t>En l'espèce, il ressort de la demande d'entraide que B. est soupçonné par les autorités du Royaume-Uni d'avoir commis un délit d'initié durant l'année 2013 et 2014. Il aurait négocié, dans différentes places boursières, des va- leurs mobilières et des produits dérivés (contrats sur différence) en se fon- dant sur des informations en sa possession avant les annonces faites sur le marché. Ces informations lui auraient été remises par C., avec laquelle il aurait eu de nombreux contacts. Cette dernière, dans le cadre de ses fonc- tions au sein de la banque D., a pu avoir accès à des informations privilé- giées. Cela notamment en lien avec des fusions et des acquisitions. Les autorités requérantes expliquent que B. aurait de cette façon réalisé un bé- néfice minimum supérieur à GBP 1'500'000.-- (cf. let. A; dossier du MPC, rubrique 1, demande d'entraide du 16.10.2015, p. 3 ss [anglais] et 30 ss [tra- duction française]). L'état de fait précité est suffisant pour déterminer que le comportement décrit dans la demande d'entraide du 16 juillet 2015 des auto- rités britanniques serait punissable en Suisse au titre de délit d'initié au sens de l'art. 154 LIMF. La question de savoir si C. a effectivement fourni des informations confidentielles à B. et si ce dernier s'est fondé sur ces informa- tions pour conclure des contrats sur différence est une question de fond qu'il conviendra au juge étranger de trancher (cf. arrêt du Tribunal pénal fédéral RR.2016.13 du 6 avril 2016, consid. 3.5. et les références citées). Le grief infondé est rejeté.</w:t>
      </w:r>
    </w:p>
    <w:p>
      <w:r>
        <w:rPr>
          <w:b/>
        </w:rPr>
        <w:t>E. 3</w:t>
      </w:r>
    </w:p>
    <w:p>
      <w:r>
        <w:t>Le recours est rejeté.</w:t>
      </w:r>
    </w:p>
    <w:p>
      <w:r>
        <w:rPr>
          <w:b/>
        </w:rPr>
        <w:t>E. 4</w:t>
      </w:r>
    </w:p>
    <w:p>
      <w:r>
        <w:t>Les frais de procédure comprenant l'émolument d'arrêté, les émoluments de chancellerie et les débours, sont mis à la charge des parties qui succombent</w:t>
      </w:r>
    </w:p>
    <w:p>
      <w:r>
        <w:t>- 7 -</w:t>
      </w:r>
    </w:p>
    <w:p>
      <w:r>
        <w:t>(art. 63 al. 1 de la loi fédérale du 20 décembre 1968 sur la procédure admi- 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