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 vom 3. März 2016</w:t>
      </w:r>
    </w:p>
    <w:p>
      <w:r>
        <w:t>Bundesstrafgericht, 2016-03-03, DE</w:t>
      </w:r>
    </w:p>
    <w:p>
      <w:r>
        <w:rPr>
          <w:b/>
        </w:rPr>
        <w:t xml:space="preserve">Quelle: </w:t>
      </w:r>
      <w:r>
        <w:t>https://mcp.opencaselaw.ch/entscheid/bstger_RR.2016.10</w:t>
      </w:r>
    </w:p>
    <w:p>
      <w:r>
        <w:t>FR: TPF RR.2016.10 du 3 mars 2016</w:t>
      </w:r>
    </w:p>
    <w:p>
      <w:r>
        <w:t>IT: TPF RR.2016.10 del 3 marzo 2016</w:t>
      </w:r>
    </w:p>
    <w:p>
      <w:pPr>
        <w:pStyle w:val="Heading2"/>
      </w:pPr>
      <w:r>
        <w:t>Regeste</w:t>
      </w:r>
    </w:p>
    <w:p>
      <w:r>
        <w:t>Auslieferung an die Türkei. Auslieferungsentscheid (Art. 55 IRSG).</w:t>
      </w:r>
    </w:p>
    <w:p>
      <w:pPr>
        <w:pStyle w:val="Heading2"/>
      </w:pPr>
      <w:r>
        <w:t>Erwägungen</w:t>
      </w:r>
    </w:p>
    <w:p>
      <w:r>
        <w:rPr>
          <w:b/>
        </w:rPr>
        <w:t>E. 1.1</w:t>
      </w:r>
    </w:p>
    <w:p>
      <w:r>
        <w:t>Für den Auslieferungsverkehr zwischen der Schweiz und der Türkei sind pri- mär das Europäische Auslieferungsübereinkommen vom 13. Dezem- ber 1957 (EAUe; SR 0.353.1) und das hierzu ergangene zweite Zusatzpro- tokoll vom 17. März 1978 (ZPII EAUe; SR 0.353.12), welchem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StBOG), wenn das IRSG nichts anderes bestimmt (siehe Art. 12 Abs. 1 IRSG).</w:t>
      </w:r>
    </w:p>
    <w:p>
      <w:r>
        <w:rPr>
          <w:b/>
        </w:rPr>
        <w:t>E. 2</w:t>
      </w:r>
    </w:p>
    <w:p>
      <w:r>
        <w:t>Gegen Auslieferungsentscheide des BJ kann innerhalb von 30 Tagen nach Eröffnung des Entscheids bei der Beschwerdekammer des Bundesstrafge- richts Beschwerde geführt werden (Art. 55 Abs. 3 i.V.m. Art. 25 Abs. 1 IRSG; Art. 12 Abs. 1 IRSG i.V.m. Art. 50 Abs. 1 VwVG). Die vom Beschwerdeführer persönlich gegen den Auslieferungsentscheid vom 21. Dezember 2015 er- hobene Beschwerde vom 19. Januar 2016 erweist sich als fristgerecht ein- gereicht. Die übrigen Eintretensvoraussetzungen geben zu keinen Bemer- kungen Anlass, weshalb auf die Beschwerde einzutreten ist.</w:t>
      </w:r>
    </w:p>
    <w:p>
      <w:r>
        <w:rPr>
          <w:b/>
        </w:rPr>
        <w:t>E. 3</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w:t>
      </w:r>
    </w:p>
    <w:p>
      <w:r>
        <w:t>- 5 -</w:t>
      </w:r>
    </w:p>
    <w:p>
      <w:r>
        <w:t>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diciare internationale en matière pénale, 4. Aufl., Bern 2014, N 522, S. 519).</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Der Beschwerdeführer macht zur Hauptsache geltend, im Falle einer Auslie- ferung in die Türkei müsste er in den türkischen Gefängnissen um sein Le- ben fürchten. In der Vergangenheit habe man bereits zweimal versucht, ihn im Gefängnis umzubringen (act. 1).</w:t>
      </w:r>
    </w:p>
    <w:p>
      <w:r>
        <w:rPr>
          <w:b/>
        </w:rPr>
        <w:t>E. 4.2</w:t>
      </w:r>
    </w:p>
    <w:p>
      <w:r>
        <w:t>Die Schweiz prüft die Auslieferungsvoraussetzungen des EAUe auch unter dem Blickwinkel ihrer grundrechtlichen völkerrechtlichen Verpflichtungen (vgl. Art. 2 IRSG). Nach internationalem Völkerrecht sind Folter und jede an- dere Art grausamer, unmenschlicher oder erniedrigender Behandlung oder Bestrafung verboten (Art. 10 Abs. 3 BV, Art. 3 EMRK, Art. 7 und 10 Ziff. 1 des internationalen Paktes vom 16. Dezember 1966 über bürgerliche und politische Rechte [UNO-Pakt II; SR 0.103.2]).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Der im ausländischen Strafverfahren Beschuldigte muss glaubhaft machen, dass er objektiv und ernsthaft eine schwerwiegende Verletzung der Menschenrechte im ersu- chenden Staat zu befürchten hat (BGE 130 II 217 E. 8). Abstrakte Behaup- tungen genügen nicht. Der Beschwerdeführer muss seine Vorbringen im Ein- zelnen präzisieren (Urteil des Bundesgerichts 1A.210/1999 vom 12. Dezem- ber 1999 E. 8b).</w:t>
      </w:r>
    </w:p>
    <w:p>
      <w:r>
        <w:t>- 6 -</w:t>
      </w:r>
    </w:p>
    <w:p>
      <w:r>
        <w:t>Gemäss Rechtsprechung gibt es Fälle, in denen zwar ernsthafte Gründe für die Annahme bestehen, dass der Verfolgte im ersuchenden Staat einer men- 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(vgl. zum Ganzen ausführlich den Entscheid des Bundesstraf- gerichts RR.2013.258 vom 6. Juni 2014, E. 10.3 m.w.H.). Eine gänzliche Verweigerung der Auslieferung rechtfertigt sich nur ausnahmsweise, wenn das Risiko einer menschenrechtswidrigen Behandlung auch mit diplomati- schen Zusicherungen nicht auf ein Mass herabgesetzt werden kann, dass es als nur noch theoretisch erscheint (BGE 134 IV 156 E. 6.7 S. 169 f.; TPF 2012 144 E. 5.1.3).</w:t>
      </w:r>
    </w:p>
    <w:p>
      <w:r>
        <w:rPr>
          <w:b/>
        </w:rPr>
        <w:t>E. 4.3</w:t>
      </w:r>
    </w:p>
    <w:p>
      <w:r>
        <w:t>Im Auslieferungsverkehr mit der Türkei wird in der Regel die Einholung von Garantien nicht vorausgesetzt (s. Urteile des Bundesgerichts 1C_356/2014 vom 3. September 2014, E. 2.2.2; 1A.215/2000 vom 16. Oktober 2000, E. 6c). Die bundesgerichtliche Rechtsprechung verlangt von der Türkei dip- lomatische Zusicherungen der menschenrechtskonformen Behandlung des Verfolgten lediglich in heiklen Fällen mit politischem Hintergrund (Urteile des Bundesgerichts 1C_356/2014 vom 3. September 2014, E. 2.2.2 unter Hin- weis auf BGE 133 IV 76 E. 4.4, 4.5 und 4.6 S. 88 ff.; 1A.215/2000 vom 16. Oktober 2000, E. 6b f.; Entscheide des Bundesstrafgerichts RR.2015.119 vom 10. November 2015, E. 8.3; RR.2015.50 vom 2. Juli 2015, E. 10.5.4; RR.2013.261 vom 30. Oktober 2014, E. 6.9).</w:t>
      </w:r>
    </w:p>
    <w:p>
      <w:r>
        <w:rPr>
          <w:b/>
        </w:rPr>
        <w:t>E. 4.4</w:t>
      </w:r>
    </w:p>
    <w:p>
      <w:r>
        <w:t>Vorliegend kann kein besonders heikler Fall mit politischem Hintergrund an- genommen werden, welcher von vornherein seitens der Türkei diplomati- sche Zusicherungen der menschenrechtskonformen Behandlung notwendig erscheinen liesse. Dennoch haben die türkischen Behörden auf Aufforde- rung des BJ die Einhaltung der Menschenrechtsgarantien, welche sich aus der EMRK und dem UNO-Pakt II ergeben, insbesondere die Wahrung der physischen und psychischen Integrität des Verfolgten und spezifisch auch dessen Schutz vor Übergriffen von dritten Personen ausdrücklich zugesi- chert. Es ist nicht ersichtlich und wird vom Beschwerdeführer auch nicht dar- getan, inwiefern sich die türkischen Behörden im vorliegenden Fall nicht an die abgegebenen Garantien halten sollten. Auch der Verweis auf die der Stellungnahme vom 10. August 2015 beigefügten Internetberichte, Video- aufnahmen und den Länderbericht des Europäischen Gerichtshofes für Men- schenrechte ist nicht geeignet, eine konkrete Gefährdung des Beschwerde- führers glaubhaft zu machen. Es ist sodann nicht einzusehen, inwiefern sich die geltend gemachte Bedrohungslage des Beschwerdeführers durch die</w:t>
      </w:r>
    </w:p>
    <w:p>
      <w:r>
        <w:t>- 7 -</w:t>
      </w:r>
    </w:p>
    <w:p>
      <w:r>
        <w:t>Familienfehde in der türkischen Haft verschärfen sollte. Die Beschwerde er- weist sich daher in diesem Punkt als unbegründet.</w:t>
      </w:r>
    </w:p>
    <w:p>
      <w:r>
        <w:rPr>
          <w:b/>
        </w:rPr>
        <w:t>E. 5</w:t>
      </w:r>
    </w:p>
    <w:p>
      <w:r>
        <w:t>Es ist ferner festzuhalten, dass entgegen der Ansicht des Beschwerdefüh- rers an der Gültigkeit des Auslieferungsersuchens nichts ändert, wenn in der Interpolmeldung (und in der Folge auch im Auslieferungsentscheid) irrtümli- cherweise die Rede davon ist, dass sich der Beschwerdeführer ausser den in lit. A supra aufgeführten Straftaten (Beihilfe zu vorsätzlicher Tötung und Kauf/Führen/Mitnahme nicht zugelassener Feuerwaffen und Munition) zu- sätzlich der versuchten Tötung schuldig gemacht habe. Die Voraussetzung der doppelten Strafbarkeit (Art. 2 EAUe) ist gestützt auf das türkische Aus- lieferungsersuchen ohne Weiteres erfüllt und wird vom Beschwerdeführer auch nicht in Frage gestellt.</w:t>
      </w:r>
    </w:p>
    <w:p>
      <w:r>
        <w:rPr>
          <w:b/>
        </w:rPr>
        <w:t>E. 6</w:t>
      </w:r>
    </w:p>
    <w:p>
      <w:r>
        <w:t>Soweit schliesslich der Beschwerdeführer geltend macht, den Strafvollzug in Deutschland zu Ende führen zu wollen, ist er darauf hinzuweisen, dass dar- über nicht im vorliegenden Verfahren zu befinden ist. Ein derartiges Ersu- chen wäre bei den zuständigen Behörden in Deutschland resp. der Türkei zu stellen.</w:t>
      </w:r>
    </w:p>
    <w:p>
      <w:r>
        <w:rPr>
          <w:b/>
        </w:rPr>
        <w:t>E. 7</w:t>
      </w:r>
    </w:p>
    <w:p>
      <w:r>
        <w:t>Andere Auslieferungshindernisse werden weder geltend gemacht, noch sind solche ersichtlich. Die Beschwerde ist damit als unbegründet und ohne Durchführung eines Schriftenwechsels (Art. 57 Abs. 1 VwVG) abzuweisen.</w:t>
      </w:r>
    </w:p>
    <w:p>
      <w:r>
        <w:rPr>
          <w:b/>
        </w:rPr>
        <w:t>E. 8</w:t>
      </w:r>
    </w:p>
    <w:p>
      <w:r>
        <w:t>Bei diesem Ausgang des Verfahrens wird der Beschwerdeführer kosten- pflichtig (Art. 63 VwVG i.V.m. Art. 39 Abs. 2 lit. b StBOG). Für die Berech- nung der Gerichtsgebühr gelangt das BStKR (i.V.m. Art. 63 Abs. 5 VWVG) zur Anwendung. Die Gerichtsgebühr ist vorliegend auf Fr. 3'000.-- unter An- rechnung des geleisteten Kostenvorschusses in gleicher Höhe festzusetzen.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