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RR.2015.95 vom 4. September 2015</w:t>
      </w:r>
    </w:p>
    <w:p>
      <w:r>
        <w:t>Bundesstrafgericht, 2015-09-04, IT</w:t>
      </w:r>
    </w:p>
    <w:p>
      <w:r>
        <w:rPr>
          <w:b/>
        </w:rPr>
        <w:t xml:space="preserve">Quelle: </w:t>
      </w:r>
      <w:r>
        <w:t>https://mcp.opencaselaw.ch/entscheid/bstger_RR.2015.95</w:t>
      </w:r>
    </w:p>
    <w:p>
      <w:r>
        <w:t>FR: TPF RR.2015.95 du 4 septembre 2015</w:t>
      </w:r>
    </w:p>
    <w:p>
      <w:r>
        <w:t>IT: TPF RR.2015.95 del 4 settembre 2015</w:t>
      </w:r>
    </w:p>
    <w:p>
      <w:pPr>
        <w:pStyle w:val="Heading2"/>
      </w:pPr>
      <w:r>
        <w:t>Regeste</w:t>
      </w:r>
    </w:p>
    <w:p>
      <w:r>
        <w:t>Assistenza internazionale in materia penale all'Italia. Consegna di mezzi di prova.</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 nazionale contenuto in detti trattati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 tali (DTF 135 IV 212 consid. 2.3; 123 II 595 consid. 7c).</w:t>
      </w:r>
    </w:p>
    <w:p>
      <w:r>
        <w:rPr>
          <w:b/>
        </w:rPr>
        <w:t>E. 1.3</w:t>
      </w:r>
    </w:p>
    <w:p>
      <w:r>
        <w:t>Interposto tempestivamente contro la sopraccitata decisione di chiusura dell’autorità cantonale d’esecuzione, il ricorso è ricevibile sotto il profilo degli</w:t>
      </w:r>
    </w:p>
    <w:p>
      <w:r>
        <w:t>- 4 -</w:t>
      </w:r>
    </w:p>
    <w:p>
      <w:r>
        <w:t>art. 25 cpv. 1, 80e cpv. 1 e 80k AIMP. Titolari di una relazione bancaria og- getto della decisione impugnata, le ricorrenti, ognuna limitatamente al pro- prio conto, sono legittimate a ricorrere (v. art. 9a lett. a OAIMP nonché DTF 137 IV 134 consid. 5.2.1; 130 II 162 consid. 1.1; 128 II 211 consid. 2.3; TPF 2007 79 consid. 1.6 pag. 82).</w:t>
      </w:r>
    </w:p>
    <w:p>
      <w:r>
        <w:rPr>
          <w:b/>
        </w:rPr>
        <w:t>E. 2</w:t>
      </w:r>
    </w:p>
    <w:p>
      <w:r>
        <w:t>Le ricorrenti sostengono innanzitutto che, non essendo la sentenza di falli- mento del Tribunale di Roma del 18 ottobre 2013 relativa a B. S.r.l. cresciuta in giudicato, occorrerebbe sospendere la procedura rogatoriale. A loro dire, considerato che la dichiarazione di fallimento è un elemento costitutivo del reato di bancarotta e non una condizione di punibilità, la Procura di Roma chiederebbe l'assistenza giudiziaria in relazione ad un reato inesistente. Non sarebbe pertanto soddisfatta la condizione della doppia punibilità.</w:t>
      </w:r>
    </w:p>
    <w:p>
      <w:r>
        <w:rPr>
          <w:b/>
        </w:rPr>
        <w:t>E. 2.1</w:t>
      </w:r>
    </w:p>
    <w:p>
      <w:r>
        <w:t>Aderendo alla CEAG, la Svizzera ha posto il principio della doppia punibilità quale condizione all’esecuzione di ogni commissione rogatoria esigente l’ap- plicazione di una qualsiasi misura coercitiva (v. art. 5 n. 1 lett. 1 CEAG e la riserva formulata mediante l'art. 3 del decreto federale del 27 settembre 1966 che approva la Convenzione del Consiglio d'Europa, RU 1967 p. 893 e segg.). L'art. X n. 1 dell'Accordo italo-svizzero prevede a sua volta che l'as- sistenza giudiziaria consistente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menzionati nella domanda di assistenza, ma devono semplicemente vagliare, limitan- dosi a un esame "prima facie", se i fatti addotti nella domanda estera - effet- 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 sid. 3b/aa pag. 546; 116 Ib 89 consid. 3b/bb; 112 Ib 576 consid. 11b/bb pag. 594). I fatti incriminati non devono forzatamente essere caratterizzati, nelle due legislazioni toccate, dalla medesima qualificazione giuridica (DTF 124 II 184 consid. 4b/cc pag. 188).</w:t>
      </w:r>
    </w:p>
    <w:p>
      <w:r>
        <w:rPr>
          <w:b/>
        </w:rPr>
        <w:t>E. 2.2</w:t>
      </w:r>
    </w:p>
    <w:p>
      <w:r>
        <w:t>Orbene, dall'esposto fattuale evidenziato in rogatoria risulta che agli imputati è contestato di aver distratto, nella loro qualità di amministratori o legali rap- presentanti, ingenti somme di denaro dalla società B. S.r.l., facendola fallire e provvedendo far confluire i valori su conti bancari in Svizzera (v. supra lett. A). Premesso che la presente autorità, nell'analisi del requisito del principio della doppia punibilità, non è vincolata dalle considerazioni effettuate dall'au-</w:t>
      </w:r>
    </w:p>
    <w:p>
      <w:r>
        <w:t>- 5 -</w:t>
      </w:r>
    </w:p>
    <w:p>
      <w:r>
        <w:t>torità di esecuzione al proposito, i fatti sopra descritti possono essere senz'al- tro sussunti in Svizzera al reato di amministrazione infedele ai sensi dell'art. 158 CP, ciò che permette di concludere che il suddetto principio è stato ri- spettato.</w:t>
      </w:r>
    </w:p>
    <w:p>
      <w:r>
        <w:t>Si rileva comunque, a titolo abbondanziale, che essendo pendente all'estero un procedimento penale tendente proprio a determinare se le persone di cui sopra hanno commesso una bancarotta fraudolenta a danno della B. S.r.l., all'autorità rogante non è richiesto nella presente procedura di provare la realizzazione delle condizioni oggettive del reato perseguito in Italia. Certo è che una sentenza di fallimento, seppur di prima istanza, esiste, per cui, es- sendo una condanna per il reato di cui sopra possibile, il requisito della dop- pia punibilità è adempiuto anche con riferimento all'art. 163 CP. La censura legata all'assenza di una sentenza di fallimento cresciuta in giudicato andrà semmai sollevata, se del caso, davanti al giudice del merito italiano. La ri- chiesta di sospensione formulata in via preliminare deve dunque essere re- spinta.</w:t>
      </w:r>
    </w:p>
    <w:p>
      <w:r>
        <w:rPr>
          <w:b/>
        </w:rPr>
        <w:t>E. 3</w:t>
      </w:r>
    </w:p>
    <w:p>
      <w:r>
        <w:t>Invocando una violazione del principio della proporzionalità, le società ricor- renti si oppongono all'invio all'autorità rogante della documentazione relativa ai loro conti. Esse sostengono che queste non avrebbero nulla a che vedere con il procedimento penale pendente in Italia, se non limitatamente ad un'u- nica operazione descritta tuttavia in modo sommario nella decisione di chiu- sura, rispettivamente nella rogatoria, senza che sia stato sostanziato alcun- ché di illecito che possa concretizzare un'eventuale connessione materiale con i fatti esposti nella domanda di assistenza. La trasmissione di tutta la documentazione bancaria oggetto della decisione impugnata costituirebbe un chiaro caso di fishing expedition.</w:t>
      </w:r>
    </w:p>
    <w:p>
      <w:r>
        <w:rPr>
          <w:b/>
        </w:rPr>
        <w:t>E. 3.1</w:t>
      </w:r>
    </w:p>
    <w:p>
      <w:r>
        <w:t>La questione di sapere se le informazioni richieste nell'ambito di una do- 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 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consid. 6.3) o se la do- manda appaia abusiva, le informazioni richieste essendo del tutto inidonee a far progredire le indagini (DTF 122 II 134 consid. 7b; 121 II 241 consid. 3a). Inoltre, da consolidata prassi, quando le autorità estere chiedono informa- zioni su conti bancari nell'ambito di procedimenti come quello qui in esame,</w:t>
      </w:r>
    </w:p>
    <w:p>
      <w:r>
        <w:t>- 6 -</w:t>
      </w:r>
    </w:p>
    <w:p>
      <w:r>
        <w:t>esse necessitano di regola di tutti i relativi documenti, perché debbono poter individuare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 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 stero (DTF 126 II 258 consid. 9c; 122 II 367 consid. 2c; 121 II 241 consid. 3a e b). Vietata in particolare è la cosiddetta "fishing expedition", la quale è de- finita dalla giurisprudenza una ricerca generale ed indiscriminata di mezzi di prova volta a fondare un sospetto senza che esistano pregressi elementi concreti a sostegno dello stesso (DTF 125 II 65 consid. 6b/aa e rinvii). Que- sto genere di inchieste non è consentito in ambito di assistenza giudiziaria internazionale sia alla luce del principio della proporzionalità che di quello della specialità. Tale divieto si fonda semplicemente sul fatto che è inammis- sibile procedere a casaccio nella raccolta delle prove (DTF 113 I 257 consid. 5c), il che non sarebbe nemmeno conciliabile con le stesse funzioni di base dell'assistenza internazionale in materia penale (v. DONATSCH/HEIMGART- NER/MEYER/SIMONEK, Internationale Rechtshilfe, 2a ediz., Zurigo/Basilea/Gi- nevra 2015, pag. 93 e seg.)</w:t>
      </w:r>
    </w:p>
    <w:p>
      <w:r>
        <w:rPr>
          <w:b/>
        </w:rPr>
        <w:t>E. 3.2</w:t>
      </w:r>
    </w:p>
    <w:p>
      <w:r>
        <w:t>In concreto, A. e gli altri indagati, la prima quale legale rappresentante e gli altri quali amministratori di fatto, sono accusati di aver distratto ingenti valori patrimoniali dalla società B. S.r.l., portandola al fallimento. Essi avrebbero in particolare distratto la somma di EUR 11'115'000.00 che avrebbero fatto con- fluire nel corso del biennio 2005-2006 presso l'allora banca G. (ora banca H. a Lugano (v. act. 1.7). Ora, essendo le relazioni bancarie oggetto della deci- sione impugnata riconducibili agli indagati o comunque nella loro disposi- zione in virtù delle loro funzioni societarie, l'utilità potenziale della documen- tazione litigiosa per l'inchiesta estera è evidente. Ritenuto che gli inquirenti</w:t>
      </w:r>
    </w:p>
    <w:p>
      <w:r>
        <w:t>- 7 -</w:t>
      </w:r>
    </w:p>
    <w:p>
      <w:r>
        <w:t>esteri necessitano di ricostruire tutti i movimenti ed i flussi di valori patrimo- niali avvenuti a partire dai conti di pertinenza della società fallita, occultati eventualmente anche tramite terze persone fisiche e/o giuridiche, in virtù della già citata giurisprudenza (v. consid. 3.1 supra), si giustifica di trasmet- tere alle autorità italiane tutta la documentazione relativa ai conti delle ricor- renti. Da respingere è la richiesta di anonimizzazione presentata dalle insor- genti, dato che l'eventuale attività di occultamento di valori, con possibile ri- ciclaggio in Svizzera, potrebbe essere messa in atto proprio attraverso per- sone fisiche e giuridiche che fungono da prestanome. L'autorità estera deve quindi poter procedere alle sue verifiche relativamente ad un possibile ruolo nei fatti oggetto d'indagine in Italia delle persone collegate ai conti delle ri- correnti.</w:t>
      </w:r>
    </w:p>
    <w:p>
      <w:r>
        <w:t>Costatata la sufficiente relazione tra le misure d'assistenza richiesta e l'og- getto del procedimento penale italiano, spetterà al giudice estero del merito valutare se dalla documentazione sequestrata emerge in concreto una con- nessione penalmente rilevante tra i fatti perseguiti all'estero ed i conti oggetto della decisione impugnata. Non è infatti competenza dell'autorità rogata, ri- spettivamente del giudice dell'assistenza, sostituirsi al giudice penale stra- niero e pronunciarsi sulla sostanza delle ipotesi di reato formulate dagli in- quirenti (v. DTF 132 II 81 consid. 2.1; 122 II 373 consid. 1c; 112 Ib 215 con- sid. 5b; 109 Ib 60 consid. 5a e rinvii). Visto quanto esposto, vi è da conclu- dere che la domanda di assistenza estera non costituisce una "fishing expe- dition" e la trasmissione della documentazione litigiosa non viola il principio della proporzionalità.</w:t>
      </w:r>
    </w:p>
    <w:p>
      <w:r>
        <w:rPr>
          <w:b/>
        </w:rPr>
        <w:t>E. 4</w:t>
      </w:r>
    </w:p>
    <w:p>
      <w:r>
        <w:t>Visto quanto precede, la decisione impugnata va integralmente confermata ed il gravame respinto.</w:t>
      </w:r>
    </w:p>
    <w:p>
      <w:r>
        <w:rPr>
          <w:b/>
        </w:rPr>
        <w:t>E. 5</w:t>
      </w:r>
    </w:p>
    <w:p>
      <w:r>
        <w:t>Le spese seguono la soccombenza (v. art. 63 cpv. 1 della legge federale sulla procedura amministrativa del 20 dicembre 1968 [PA; RS 172.021] ri- chiamato l’art. 39 cpv. 2 lett. b LOAP). La tassa di giustizia è calcolata giusta gli art. 73 cpv. 2 LOAP, 63 cpv. 4bis lett. b PA, nonché 5 e 8 cpv. 3 lett. b del regolamento del 31 agosto 2010 sulle spese, gli emolumenti, le ripetibili e le indennità della procedura penale federale (RSPPF; RS 173.713.162), ed è complessivamente fissata nella fattispecie a fr. 6'000.--; essa è messa a ca- rico delle ricorrenti in solido ed è coperta dall’anticipo delle spese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