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RR.2015.87 vom 9. Juni 2015</w:t>
      </w:r>
    </w:p>
    <w:p>
      <w:r>
        <w:t>Bundesstrafgericht, 2015-06-09, FR</w:t>
      </w:r>
    </w:p>
    <w:p>
      <w:r>
        <w:rPr>
          <w:b/>
        </w:rPr>
        <w:t xml:space="preserve">Quelle: </w:t>
      </w:r>
      <w:r>
        <w:t>https://mcp.opencaselaw.ch/entscheid/bstger_RR.2015.87</w:t>
      </w:r>
    </w:p>
    <w:p>
      <w:r>
        <w:t>FR: TPF RR.2015.87 du 9 juin 2015</w:t>
      </w:r>
    </w:p>
    <w:p>
      <w:r>
        <w:t>IT: TPF RR.2015.87 del 9 giugno 2015</w:t>
      </w:r>
    </w:p>
    <w:p>
      <w:pPr>
        <w:pStyle w:val="Heading2"/>
      </w:pPr>
      <w:r>
        <w:t>Regeste</w:t>
      </w:r>
    </w:p>
    <w:p>
      <w:r>
        <w:t>Entraide judiciaire internationale en matière pénale aux Etats-Unis d'Amerique. Remise de moyens de preuve (art. 74 EIMP).</w:t>
      </w:r>
    </w:p>
    <w:p>
      <w:pPr>
        <w:pStyle w:val="Heading2"/>
      </w:pPr>
      <w:r>
        <w:t>Erwägungen</w:t>
      </w:r>
    </w:p>
    <w:p>
      <w:r>
        <w:rPr>
          <w:b/>
        </w:rPr>
        <w:t>E. 1.1</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diviser; c’est le droit de procédure qui régit les conditions d’admission de la jonction et de la disjonction des causes (BOVAY, Procédure administrative, Berne 2000, p. 173). Bien qu’elle ne soit pas prévue par la loi sur la procédure administrative (PA; RS 172.021), applicable à la présente cause par renvoi de l’art. 39 al. 2 let. b de la loi fédérale sur l’organisation des autorités pénales de la Confédération (LOAP; RS 173.71), l’institution de la jonction des causes est néanmoins admise en pratique (cf. arrêt du Tribunal pénal fédéral RR.2007.187-190 du 8 avril 2008, consid. 1).</w:t>
      </w:r>
    </w:p>
    <w:p>
      <w:r>
        <w:t>- 4 -</w:t>
      </w:r>
    </w:p>
    <w:p>
      <w:r>
        <w:t>Les recours ont une teneur quasi identique. Ils ont été formés par un seul défenseur contre trois décisions de clôture au contenu similaire et rendues dans le même complexe de faits. Il y a lieu de prononcer la jonction des causes. Pour en tenir compte, une partie des avances de frais versées suite aux recours sera restituée aux recourants.</w:t>
      </w:r>
    </w:p>
    <w:p>
      <w:r>
        <w:rPr>
          <w:b/>
        </w:rPr>
        <w:t>E. 1.2</w:t>
      </w:r>
    </w:p>
    <w:p>
      <w:r>
        <w:t>L’entraide judiciaire pénale entre les Etats-Unis d’Amérique et la Confédération suisse est régie par le Traité sur l’entraide judiciaire en matière pénale liant ces deux Etats (TEJUS; RS 0.351.933.6) et la loi fédérale d’application de celui-ci (LTEJUS; RS 351.93). 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129 II 462 consid. 1.1; 124 II 180 consid. 1a; arrêt du Tribunal pénal fédéral RR.2010.9 du 15 avril 2010, consid. 1.3). L’application de la norme la plus favorable doit avoir lieu dans le respect des droits fondamentaux (ATF 135 IV 212 consid. 2.3; 123 II 595 consid. 7c).</w:t>
      </w:r>
    </w:p>
    <w:p>
      <w:r>
        <w:rPr>
          <w:b/>
        </w:rPr>
        <w:t>E. 1.3</w:t>
      </w:r>
    </w:p>
    <w:p>
      <w:r>
        <w:t>Aux termes de l'art. 17 al. 1 LTEJUS et 37 al. 2 let. a ch. 4 LOAP, peuvent faire l'objet d'un recours devant la Cour des plaintes du Tribunal pénal fédéral, la décision de l'OFJ relative à la clôture de la procédure d'entraide et, conjointement, les décisions incidentes antérieures de l'autorité d'exécution.</w:t>
      </w:r>
    </w:p>
    <w:p>
      <w:r>
        <w:rPr>
          <w:b/>
        </w:rPr>
        <w:t>E. 1.4</w:t>
      </w:r>
    </w:p>
    <w:p>
      <w:r>
        <w:t>Interjetés dans le délai de 30 jours dès la notification de la décision attaquée, les recours ont été déposés en temps utile, conformément à l’art. 17c LTEJUS.</w:t>
      </w:r>
    </w:p>
    <w:p>
      <w:r>
        <w:rPr>
          <w:b/>
        </w:rPr>
        <w:t>E. 1.5</w:t>
      </w:r>
    </w:p>
    <w:p>
      <w:r>
        <w:t>En vertu de l’art. 17a LTEJUS, a qualité pour recourir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 En revanche, l’ayant droit économique d’un compte bancaire n’a pas la qualité pour recourir contre la transmission de pièces concernant ledit compte (ATF 122 II 130 consid. 2b), pas plus que le détenteur d'une procuration (arrêt du Tribunal fédéral 1A.87/2004 du 3 juin 2004, consid. 2).</w:t>
      </w:r>
    </w:p>
    <w:p>
      <w:r>
        <w:t>Les recours de B. et de C. Limited ont été formés par des personnes habilitées à recourir, à savoir les titulaires des comptes concernés. En</w:t>
      </w:r>
    </w:p>
    <w:p>
      <w:r>
        <w:t>- 5 -</w:t>
      </w:r>
    </w:p>
    <w:p>
      <w:r>
        <w:t>revanche, celui de A. SA ne l'est pas. Bien que déposé au nom du titulaire du compte, Me Stéphane Penet a justifié de ses pouvoirs vis-à-vis de A. SA en se prévalant de la même procuration qu'il a produite en lien avec le recours formé au nom de B., procuration datée du 27 novembre 2014 et signée par ce dernier (RR.2015.87, act. 1.1). Si la procuration permet de justifier des pouvoirs accordés par B. à cet avocat, il n'en va pas de même s'agissant de la société A. SA. Le tribunal de céans a à plusieurs reprises invité Me Stéphane Penet à produire une procuration au nom de la société recourante et paraphée par une personne habilitée à la représenter (RR.2015.87, act. 3, 6 et 9). Ce dernier n'a toutefois pas été en mesure de s'exécuter. Il s'est par contre maintes fois prévalu de la qualité d'ayant droit économique de B. (p.ex. RR.2015.87, act. 1, p. 2, act. 4, act. 10), ou de celle d'actionnaire unique, ou encore de signataire autorisé sur le compte (idem, act. 4). On ne saurait ainsi considérer que Me Stéphane Penet représente valablement A. SA. Au contraire, il représente son ayant droit économique, comme il l'a lui-même expliqué dans son mémoire de recours (RR.2015.87, act. 1, p. 2). Entrer en matière sur le recours de A. SA dans ces conditions reviendrait à ignorer la règle exposée ci-dessus selon laquelle l’ayant droit économique d’un compte bancaire n’a pas la qualité pour recourir contre la transmission de pièces concernant ledit compte. Il serait ainsi aisé de la contourner en donnant l'apparence de l'existence d'un mandat, alors que le mandant n'a nullement exprimé sa volonté sociale. Cela équivaudrait à ne pas tenir compte du fait qu'une personne morale a une existence propre et indépendante de ses ayants droit économiques, ou encore de ses associés. En conclusion, faute d'avoir produit une procuration donnée par une personne apte à engager A. SA, la constitution de Me Stéphane Penet ne s'étend pas à A. SA, mais seulement à son ayant droit économique qui n'est pas habilité à recourir en ce qui concerne la documentation relative au compte n° 1 dont est titulaire A. SA. Le recours est par conséquent irrecevable en tant qu'il est formé au nom de la société A. SA (v. arrêts du Tribunal pénal fédéral RR.2012.293-305 du 24 septembre 2013, consid. 1.3; RR.2010.28-29 du 3 mars 2010, p. 2 s. et les références citées).</w:t>
      </w:r>
    </w:p>
    <w:p>
      <w:r>
        <w:rPr>
          <w:b/>
        </w:rPr>
        <w:t>E. 2</w:t>
      </w:r>
    </w:p>
    <w:p>
      <w:r>
        <w:t>Les recourants se plaignent d'une violation du principe de proportionnalité.</w:t>
      </w:r>
    </w:p>
    <w:p>
      <w:r>
        <w:rPr>
          <w:b/>
        </w:rPr>
        <w:t>E. 2.1</w:t>
      </w:r>
    </w:p>
    <w:p>
      <w:r>
        <w:t>Selon la jurisprudence,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w:t>
      </w:r>
    </w:p>
    <w:p>
      <w:r>
        <w:t>- 6 -</w:t>
      </w:r>
    </w:p>
    <w:p>
      <w:r>
        <w:t>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S’agissant de comptes susceptibles, comme en l’espèce, d’avoir servi à des actes de blanchiment, l’autorité requérante a intérêt à</w:t>
      </w:r>
    </w:p>
    <w:p>
      <w:r>
        <w:t>- 7 -</w:t>
      </w:r>
    </w:p>
    <w:p>
      <w:r>
        <w:t>pouvoir prendre connaissance de la documentation du compte, afin notamment de connaître l’identité de l’ayant droit économique et des signataires autorisés. Elle dispose également d’un intérêt à être informée de toute transaction susceptible de s’inscrire dans le mécanisme mis en place par les personnes sous enquête aux Etats-Unis. Certes, il se peut également que les comptes litigieux n’aient pas servi à recevoir le produit d’infractions pénales, ni à opérer des virements illicites ou à blanchir des fonds. L’autorité requérante n’en dispose pas moins d’un intérêt à pouvoir le vérifier elle- même, sur le vu d’une documentation complète, étant rappelé que l’entraide vise non seulement à recueillir des preuves à charge, mais également à décharge (ATF 118 Ib 547 consid. 3a; arrêt du Tribunal fédéral 1A.88/2006 du 22 juin 2006, consid. 5.3; arrêts du Tribunal pénal fédéral RR.2008.287 du 9 avril 2009, consid. 2.2.4 et la jurisprudence citée et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Berne 2014, n° 722).</w:t>
      </w:r>
    </w:p>
    <w:p>
      <w:r>
        <w:rPr>
          <w:b/>
        </w:rPr>
        <w:t>E. 2.2</w:t>
      </w:r>
    </w:p>
    <w:p>
      <w:r>
        <w:t>Dans le cas d'espèce, les arguments des recourants en lien avec une violation du principe de la proportionnalité sont inopérants. D'une part, force est de constater que la documentation bancaire faisant l'objet de la transmission aux Etats-Unis est expressément requise par les autorités américaines dans leur commission rogatoire du 12 août 2014. Tant B. que C. Limited (que A. SA) y sont désignés. B. l'est en tant que prévenu, principal acteur de l'escroquerie à la carte de crédit, et blanchisseur des produits de l'activité criminelle. Quant à C. Limited, la société y est présentée comme l'une des récipiendaires des fonds encaissés au moyen des chèques auxquels se réfère la demande d'entraide, chèques qui servaient notamment à rendre plus difficile l'établissement d'un lien avec B. (RR.2015.88, act. 7.3 et RR.2015.89, act. 11.3, p. 3 en bas). D'autre part, comme le relève l'OFJ dans ses décisions de clôture, la documentation bancaire litigieuse contient des pièces qui ne manqueront pas d'intéresser les autorités étatsuniennes en tant qu'elles corroborent certains éléments de fait exposés dans la</w:t>
      </w:r>
    </w:p>
    <w:p>
      <w:r>
        <w:t>- 8 -</w:t>
      </w:r>
    </w:p>
    <w:p>
      <w:r>
        <w:t>commission rogatoire et laisse donc entrevoir des liens indéniables entre les comptes bancaires visés par les décisions attaquées et l'enquête américaine (cf. RR.2015.88 et RR.2015.89, act. 1.2, p. 3). En conclusion, il ne fait pas de doute qu'il existe en l'occurrence un lien de connexité entre l'état de faits faisant l'objet de l'enquête pénale aux USA et la documentation concernée par la remise. Il sied encore de préciser qu'une grande partie des arguments exposés par les recourants selon lesquels les fonds auraient une origine légale et seraient sans rapport avec les faits sur lesquels enquêtent les USA relève de l'argumentation à décharge, laquelle, de jurisprudence constante, n’a pas sa place dans le cadre de la procédure d’entraide (ATF 132 II 81 consid. 2.1 p. 85 et les arrêts cités; arrêt du Tribunal fédéral 1A.59/2000 du 10 mars 2000, consid. 2b; arrêts du Tribunal pénal fédéral RR.2011.81 du 21 juin 2011, consid. 3.3.2/c; RR.2007.183 du 21 février 2008, consid. 3; RR.2007.118 du 30 octobre 2007, consid. 5.1). Ces questions pourront et devront, le cas échéant, être présentées dans le cadre de la procédure américaine. Il n’appartient pas à la Cour de céans, dans le contexte de la procédure d’entraide, de se substituer au juge du fond de l’Etat requérant. Au vu de ce qui précède, l'autorité d'exécution n'a pas violé le principe de proportionnalité en autorisant la remise aux autorités étasuniennes des informations bancaires relatives aux comptes des recourants. Ainsi, le grief n'est pas fondé et doit être rejeté.</w:t>
      </w:r>
    </w:p>
    <w:p>
      <w:r>
        <w:rPr>
          <w:b/>
        </w:rPr>
        <w:t>E. 3</w:t>
      </w:r>
    </w:p>
    <w:p>
      <w:r>
        <w:t>S'agissant du grief intitulé "violation du droit étranger" et très brièvement motivé, on rappellera qu'il n'appartient pas au juge de l'entraide de constater d'éventuelles violations du droit procédural américain et encore moins, de se prononcer sur les développements de la procédure aux Etats-Unis. L'ordonnance américaine produite par les recourants à l'appui de leur recours (cf. RR.2015.88 et RR.2015.89, act. 1.3) démontre que le système judiciaire américain fonctionne et qu'il offre à B. les instruments adéquats pour se défendre. N'en déplaise aux recourants, on ne saurait en aucun cas en déduire que la procédure n'a aucune chance d'aboutir en raison de vices de forme.</w:t>
      </w:r>
    </w:p>
    <w:p>
      <w:r>
        <w:t>Il sied encore de rappeler que, de jurisprudence constante, dans la mesure où la demande d'entraide n'a pas été retirée par l'autorité compétente, il y a lieu d'en achever l'exécution (arrêts du Tribunal fédéral 1C_284/2011 du 18 juillet 2011, consid. 1; 1C_357/2010 du 28 septembre 2010, consid. 1.2; 1C_559/2009 du 11 février 2010, consid. 1; 1A.218/2003 du 17 décembre 2003, consid. 3.5). In casu, la procédure américaine est toujours en cours. Il s'impose donc d'aller au terme de l'exécution de la commission rogatoire.</w:t>
      </w:r>
    </w:p>
    <w:p>
      <w:r>
        <w:t>- 9 -</w:t>
      </w:r>
    </w:p>
    <w:p>
      <w:r>
        <w:rPr>
          <w:b/>
        </w:rPr>
        <w:t>E. 4</w:t>
      </w:r>
    </w:p>
    <w:p>
      <w:r>
        <w:t>Il découle des considérants qui précèdent que les recours de B. et de C. Limited doivent être rejetés.</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qui succombent supporteront ainsi solidairement les frais du présent arrêt, fixés à CHF 9'000.-- (art. 73 al. 2 LOAP et art. 8 al. 3 du règlement du Tribunal pénal fédéral sur les frais, émoluments, dépens et indemnités de la procédure pénale fédérale du 31 août 2010 [RFPPF; RS 173.713.162] et art. 63 al. 5 PA), couverts par l'avance de frais déjà acquittée. La caisse du Tribunal pénal fédéral restituera aux recourants le montant de CHF 6'000.--.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