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RR.2015.66 vom 30. Juli 2015</w:t>
      </w:r>
    </w:p>
    <w:p>
      <w:r>
        <w:t>Bundesstrafgericht, 2015-07-30, IT</w:t>
      </w:r>
    </w:p>
    <w:p>
      <w:r>
        <w:rPr>
          <w:b/>
        </w:rPr>
        <w:t xml:space="preserve">Quelle: </w:t>
      </w:r>
      <w:r>
        <w:t>https://mcp.opencaselaw.ch/entscheid/bstger_RR.2015.66</w:t>
      </w:r>
    </w:p>
    <w:p>
      <w:r>
        <w:t>FR: TPF RR.2015.66 du 30 juillet 2015</w:t>
      </w:r>
    </w:p>
    <w:p>
      <w:r>
        <w:t>IT: TPF RR.2015.66 del 30 luglio 2015</w:t>
      </w:r>
    </w:p>
    <w:p>
      <w:pPr>
        <w:pStyle w:val="Heading2"/>
      </w:pPr>
      <w:r>
        <w:t>Regeste</w:t>
      </w:r>
    </w:p>
    <w:p>
      <w:r>
        <w:t>Assistenza gudiziaria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w:t>
      </w:r>
    </w:p>
    <w:p>
      <w:r>
        <w:t>- 4 -</w:t>
      </w:r>
    </w:p>
    <w:p>
      <w:r>
        <w:t>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ricorrente è titolare della relazione bancaria oggetto della decisione impugnata ed è di conseguenza legittimata a ricorrere (v. art. 9a lett. a OAIMP nonché DTF 137 IV 134 consid. 5.2.1; 130 II 162 consid. 1.1; 128 II 211 consid. 2.3; TPF 2007 79 consid. 1.6 pag. 82).</w:t>
      </w:r>
    </w:p>
    <w:p>
      <w:r>
        <w:rPr>
          <w:b/>
        </w:rPr>
        <w:t>E. 2.1</w:t>
      </w:r>
    </w:p>
    <w:p>
      <w:r>
        <w:t>A titolo preliminare, relativamente all'errore presente nel dispositivo della de- cisione di chiusura impugnata, appare opportuno fare riferimento all'art. 69 cpv. 3 della legge federale sulla procedura amministrativa (PA; RS 172.021), applicabile per rinvio dell'art. 12 AIMP, a norma del quale l'autorità di ricorso può correggere in ogni tempo gli errori di scrittura o di calcolo o altri errori di svista, che non hanno alcun influsso sul dispositivo né sul contenuto essen- ziale dei motivi. Il disposto, che concretizza un principio ampiamente ricono- sciuto dalla giurisprudenza in ambito di diritto pubblico procedurale (v. sen- tenza del Tribunale federale 1P.661/2002 del 14 luglio 2003, consid. 2.2) e che è possibile ritrovare anche in altri testi, seppur sotto una formulazione più dettagliata (v. art. 129 LTF; RS 173.110; ed il rinvio in art. 48 LTAF; RS 173.32), permette all'autorità adita con un ricorso di rettificare le inavvertenze che non hanno influenza sul caso e che non pregiudicano l'esercizio del di- ritto di ricorso (v. sentenza del Tribunale amministrativo federale B- 1261/2014 del 25 luglio 2014, consid. 6). In tal senso, vi è luogo di ritenere ammissibile che anche lo stesso dispositivo possa essere oggetto di rettifica, qualora in esso siano presenti delle indicazioni manifestamente errate, la cui scorrettezza può essere dedotta senza equivoci dalla lettura d'insieme della decisione impugnata (v. sentenza del Tribunale penale federale RR.2012.7,</w:t>
      </w:r>
    </w:p>
    <w:p>
      <w:r>
        <w:t>- 5 -</w:t>
      </w:r>
    </w:p>
    <w:p>
      <w:r>
        <w:t>del 2 agosto 2012, consid. 2.1; cfr. KIENER/RÜTSCHE/KUHN, Öffentliches Ver- fahrensrecht, Zurigo/San Gallo 2012, pag. 441 e STEFAN VOGEL, in C. Auer/M. Müller/B. Schindler [ed.], Kommentar zum Bundesgesetz über das Verwaltungsverfahren, Zurigo/San Gallo 2008, n. 22 ad art. 69 PA). Tale so- luzione si impone anche in un'ottica di economia processuale, tenuto conto che, a norma dell'art. 58 PA, nel caso in cui la decisione litigiosa venisse riesaminata dall'autorità inferiore al fine di sopperire all'errore di redazione, la procedura di reclamo rimarrebbe in essere in quanto la nuova decisione emanata pendente lite andrebbe considerata come ugualmente impugnata (v. DTF 107 V 250 consid. 3; sentenza del Tribunale federale 9C_809/2012 del 31 gennaio 2013 consid. 3.2).</w:t>
      </w:r>
    </w:p>
    <w:p>
      <w:r>
        <w:rPr>
          <w:b/>
        </w:rPr>
        <w:t>E. 2.2</w:t>
      </w:r>
    </w:p>
    <w:p>
      <w:r>
        <w:t>In specie, la decisione di chiusura indica a più riprese le corrette coordinate del conto oggetto della misura di assistenza, le quali risultano sia dal fronte- spizio (v. act. 8.4, pag. 1), che dagli stessi considerandi in diritto (v. act. 8.4, pag. 5). Nella decisione impugnata sono inoltre ampiamente descritte le mo- vimentazioni di capitale sullo stesso e viene fatto rinvio alla documentazione sequestrata, la quale non lascia spazio a fraintendimenti quanto alla desi- gnazione della relazione bancaria. L'errore di redazione, per quanto proble- matico, è invece constatabile nel solo dispositivo (v. act. 8.4, pag. 7) e non ha in alcun modo pregiudicato l'esercizio del diritto di ricorso della ricorrente, la quale ha rettamente evidenziato l'errore (v. act. 1, pag. 13) postulandone tuttavia l'annullamento della decisione anche per questo motivo, ma senza in alcun modo chinarsi sulla giurisprudenza e la dottrina sopraccitate.</w:t>
      </w:r>
    </w:p>
    <w:p>
      <w:r>
        <w:rPr>
          <w:b/>
        </w:rPr>
        <w:t>E. 2.3</w:t>
      </w:r>
    </w:p>
    <w:p>
      <w:r>
        <w:t>Alla luce di quanto precede l'errore contenuto nel dispositivo va qualificato quale errore di svista senza influsso sul caso e che come tale va corretto. La decisione impugnata va quindi rettificata in tal senso.</w:t>
      </w:r>
    </w:p>
    <w:p>
      <w:r>
        <w:rPr>
          <w:b/>
        </w:rPr>
        <w:t>E. 3.1</w:t>
      </w:r>
    </w:p>
    <w:p>
      <w:r>
        <w:t>La ricorrente sostiene innanzitutto che la rogatoria italiana debba essere di- chiarata inammissibile giacché manifestamente generica e lacunosa nel suo esposto fattuale.</w:t>
      </w:r>
    </w:p>
    <w:p>
      <w:r>
        <w:rPr>
          <w:b/>
        </w:rPr>
        <w:t>E. 3.2</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 sibile precisi e completi, della persona contro cui è diretto il procedimento penale, presentando altresì un breve esposto dei fatti essenziali, al fine di permettere allo Stato rogato di verificare che non sussistano condizioni osta- tive all'assistenza (DTF 129 II 97 consid. 3; 118 Ib 111 consid. 5b pag. 121, 547 consid. 3a; 117 Ib 64 consid. 5c). In questo ambito, non si può tuttavia</w:t>
      </w:r>
    </w:p>
    <w:p>
      <w:r>
        <w:t>- 6 -</w:t>
      </w:r>
    </w:p>
    <w:p>
      <w:r>
        <w:t>pretendere dallo Stato richiedente la presentazione di un esposto dei fatti totalmente esente da lacune o contraddizioni, visto che lo scopo della roga- toria è proprio quello di chiarire punti oscuri relativi alle fattispecie oggetto d'indagine all'estero, fermo restando che la verifica delle condizioni per la concessione dell'assistenza deve rimanere possibile (v. DTF 117 Ib 64 con- 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129 II 97 consid. 3.1; 125 II 65 consid. 6b/aa; 122 II 367 consid. 2c). L'esame della colpevolezza è riservato al giudice stra- niero del merito e non compete a quello svizzero dell'assistenza (DTF 113 Ib 276 consid. 3a; 112 Ib 576 consid. 3; sentenza del Tribunale federale 1C_562/2011 del 22 dicembre 2011, consid. 1.5).</w:t>
      </w:r>
    </w:p>
    <w:p>
      <w:r>
        <w:rPr>
          <w:b/>
        </w:rPr>
        <w:t>E. 3.3</w:t>
      </w:r>
    </w:p>
    <w:p>
      <w:r>
        <w:t>La richiesta di assistenza del 6 marzo 2014 indica con sufficiente chiarezza i motivi alla base della stessa. In particolare, le autorità inquirenti italiane hanno evidenziato come del denaro di presunta origine illecita nella disponi- bilità di D. sia transitato su un conto presso la banca L., a San Marino, inte- stato a E., fratello della ricorrente, per poi essere versato su un conto inte- stato alla società M. Ltd con sede a Majuro (Isole Marshall) e recapito a Lo- carno, giungendo infine su di un altro conto intestato all'insorgente, an- ch'esso oggetto delle misure di assistenza. In sostanza, le risultanze investi- gative indurrebbero ad ipotizzare che la ricorrente abbia utilizzato i propri conti bancari per riciclare denaro proveniente dalle distrazioni fraudolente di D. ai danni del patrimonio di varie società operanti nel settore edile (v. anche supra, in fatto, lett. A).</w:t>
      </w:r>
    </w:p>
    <w:p>
      <w:r>
        <w:rPr>
          <w:b/>
        </w:rPr>
        <w:t>E. 3.4</w:t>
      </w:r>
    </w:p>
    <w:p>
      <w:r>
        <w:t>Visto quanto precede e alla luce dei sopracitati principi giurisprudenziali, l'e- sposto dei fatti contenuto nella rogatoria in esame adempie chiaramente le esigenze legali richieste. Per questi motivi, la relativa censura della ricorrente non può trovare accoglimento.</w:t>
      </w:r>
    </w:p>
    <w:p>
      <w:r>
        <w:rPr>
          <w:b/>
        </w:rPr>
        <w:t>E. 4.1</w:t>
      </w:r>
    </w:p>
    <w:p>
      <w:r>
        <w:t>L'insorgente contesta la competenza territoriale della Procura della Repub- blica presso il Tribunale ordinario di Brescia per presentare la rogatoria og- getto della presente procedura. A suo dire, l'autorità d'esecuzione avrebbe infatti misconosciuto gli effetti della sentenza 25 marzo 2014 della Terza Se- zione penale del Tribunale di Brescia, la quale avrebbe stabilito l'incompe- tenza della suddetta Procura in favore dell'autorità giudiziaria di Bergamo con riguardo al reato di riciclaggio, ossia l'unico reato per il quale la ricorrente sarebbe perseguita in Italia.</w:t>
      </w:r>
    </w:p>
    <w:p>
      <w:r>
        <w:t>- 7 -</w:t>
      </w:r>
    </w:p>
    <w:p>
      <w:r>
        <w:rPr>
          <w:b/>
        </w:rPr>
        <w:t>E. 4.2</w:t>
      </w:r>
    </w:p>
    <w:p>
      <w:r>
        <w:t>La concessione di assistenza in materia penale presuppone la competenza repressiva dello Stato richiedente (v. anche art. 1 n. 1 CEAG); la decisione sulla propria competenza spetta di principio allo Stato rogante e può essere respinta soltanto nei casi in cui le autorità giudiziarie di quest'ultimo risultino manifestamente incompetenti a procedere, ovvero se la loro competenza viene fondata in maniera arbitraria (DTF 126 II 212 consid. 6; TPF 2013 97 consid. 5.2). Se alla Svizzera viene presentata una rogatoria ossequiante le condizioni legali dell'assistenza, l'autorità d'esecuzione non è chiamata a va- lutare decisioni interne allo Stato estero, relative al foro competente per per- seguire e invocare i reati in esame. Inoltre, di principio, fintanto che la do- manda di assistenza non è stata ritirata, alla medesima occorre dare seguito (v. sentenza del Tribunale federale 1C_559/2009 dell'11 febbraio 2010, con- sid. 1 con rinvii).</w:t>
      </w:r>
    </w:p>
    <w:p>
      <w:r>
        <w:rPr>
          <w:b/>
        </w:rPr>
        <w:t>E. 4.3</w:t>
      </w:r>
    </w:p>
    <w:p>
      <w:r>
        <w:t>In concreto, la Procura di Brescia ha presentato la sua rogatoria relativa al procedimento da lei condotto in Italia il 6 marzo 2014 (v. Fatti lett. A). In se- guito, con sentenza del 25 marzo 2014, il Tribunale di Brescia ha deciso di trasferire alle autorità inquirenti di Bergamo la competenza per perseguire i fatti di riciclaggio legati al suddetto procedimento (v. act. 1.2 pag. 13). Ora, nessuna comunicazione è giunta alle autorità svizzere circa una modifica od un ritiro delle richieste formulate dalle autorità di Brescia nella loro rogatoria del 6 marzo 2014, né le autorità inquirenti di Bergamo hanno presentato una nuova rogatoria in relazione ai fatti di riciclaggio contestati agli indagati toc- cati da tale capo d'accusa. L'autorità di esecuzione non poteva che dedurne che nulla è mutato per quanto attiene alla rogatoria del 6 marzo 2014. In realtà, la sentenza italiana di cui sopra, che non tocca alle autorità svizzere interpretare e che non intacca la competenza repressiva in quanto tale delle autorità italiane nel loro insieme, non esime l'autorità elvetica dal dare se- guito, nella misura in cui sono ossequiate le regole dell'assistenza, alle ri- chieste italiane, anche perché la documentazione litigiosa trasmessa alle au- torità di Brescia potrà senz'altro essere inoltrata da quest'ultime a quelle di Bergamo. Occorre infine ricordare che la Procura di Brescia è rimasta co- munque competente per perseguire tutti gli altri reati oggetto del procedi- mento penale da lei condotto. La documentazione litigiosa potrebbe essere utile per acclarare anche altri fatti oggetto dell'indagine in questione. In defi- nitiva, anche tale censura va quindi respinta.</w:t>
      </w:r>
    </w:p>
    <w:p>
      <w:r>
        <w:rPr>
          <w:b/>
        </w:rPr>
        <w:t>E. 5.1</w:t>
      </w:r>
    </w:p>
    <w:p>
      <w:r>
        <w:t>La ricorrente sostiene che la domanda di assistenza italiana tende, in ma- niera generalizzata e con ricerca esplorativa e indiscriminata di prove in urto con il principio della proporzionalità, ad ottenere informazioni su relazioni bancarie a lei intestate che nulla avrebbero a che vedere con il procedimento estero.</w:t>
      </w:r>
    </w:p>
    <w:p>
      <w:r>
        <w:t>- 8 -</w:t>
      </w:r>
    </w:p>
    <w:p>
      <w:r>
        <w:rPr>
          <w:b/>
        </w:rPr>
        <w:t>E. 5.2</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criminalità come quella in esame, esse necessitano di regola di tutti i relativi documenti, perché debbono poter indi- 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w:t>
      </w:r>
    </w:p>
    <w:p>
      <w:r>
        <w:rPr>
          <w:b/>
        </w:rPr>
        <w:t>E. 5.3</w:t>
      </w:r>
    </w:p>
    <w:p>
      <w:r>
        <w:t>In specie, la documentazione bancaria prodotta dall'istituto di credito ha evi- denziato l'esistenza di operazioni ritenute di rilievo che hanno toccato il conto n. 1 intestato alla ricorrente e gestito da B., anch'esso indagato dalle autorità italiane. In particolare, in data 30 giugno 2005, fr. 2'662'917.40 sono stati prelevati in contanti e poi accreditati manualmente sul conto n. 2 intestato alla società panamense N. Ltd presso la banca J., di cui l'avente diritto eco- nomico era la stessa ricorrente (v. inc. MPC, act. 35, 42 e 50). Per riportare poi il saldo del sottoconto in positivo, venivano trasferiti fr. 1'628'848.35 dal sottoconto in euro (v. inc. MPC, act. 35 e 40). Tra il 12 luglio 2004 ed il 31 maggio 2005, complessivi euro 1'293'345.45 venivano invece accreditati in contanti (v. inc. MPC, act. 37, 39, 44, 46, 47, 49, 51 – 53) sul sottoconto in euro. Tali fondi provenivano a loro volta dalla società delle Isole Vergini Britanniche O. Inc, la quale risulta aver incassato assegni per prestazioni edili fornite in diversi cantieri sparsi nel nord Italia (v. inc. MPC, act. 33 e 52). Ancora, il 28 febbraio 2005 ed il 14 giugno 2005 risultano prelievi in contanti sospetti pari ad euro 125'405.-- ( v. inc. MPC, act. 38, 39, 43 – 45 e 48).</w:t>
      </w:r>
    </w:p>
    <w:p>
      <w:r>
        <w:rPr>
          <w:b/>
        </w:rPr>
        <w:t>E. 5.4</w:t>
      </w:r>
    </w:p>
    <w:p>
      <w:r>
        <w:t>Ciò constatato, ed in particolare tenuto conto dei punti di contatto a livello di operazioni bancarie tra i conti oggetto delle indagini ed il conto intestato alla ricorrente, conformemente alla predetta giurisprudenza, l'utilità potenziale dei documenti bancari in questione è certamente data. Le autorità italiane devono infatti ricostruire il cammino dei trasferimenti in esame al fine di chia- rire i punti oscuri riguardanti il possibile ruolo della relazione bancaria oggetto della presente vertenza in relazione alle fattispecie oggetto d'indagine all'e- stero. Vista la sufficiente relazione tra la misura d'assistenza richiesta e l'og- getto del procedimento penale italiano, spetterà al giudice estero del merito valutare se dalla documentazione sequestrata emerge in concreto una con- nessione penalmente rilevante tra i fatti perseguiti all'estero ed il conto og- getto della decisione impugnata. Non è infatti competenza dell'autorità ro- gata, rispettivamente del giudice adito su ricorso in ambito di assistenza, so- stituirsi al giudice penale straniero e pronunciarsi sulla sostanza delle ipotesi di reato formulate dagli inquirenti (DTF 132 II 81 consid. 2.1; 122 II 373 con- sid. 1c; 112 Ib 215 consid. 5b; 109 Ib 60 consid. 5a e rinvii). Visto quanto esposto, vi è da concludere che la domanda di assistenza estera non costi- tuisce una "fishing expedition" e la trasmissione della documentazione liti- giosa non viola il principio della proporzionalità.</w:t>
      </w:r>
    </w:p>
    <w:p>
      <w:r>
        <w:t>- 10 -</w:t>
      </w:r>
    </w:p>
    <w:p>
      <w:r>
        <w:t>6. 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- 11 -</w:t>
      </w:r>
    </w:p>
    <w:p>
      <w:r>
        <w:rPr>
          <w:b/>
        </w:rPr>
        <w:t>E. 10</w:t>
      </w:r>
    </w:p>
    <w:p>
      <w:r>
        <w:t>dicembre 2007, consid. 5.5; 1A.227/2006 del 22 febbraio 2007, consid. 3.2; 1A.195/2005 del 1° settembre 2005 in fine; sull'utilità dei documenti d'a- pertura di un conto v. sentenza del Tribunale federale 1A.182/2006 del 9 agosto 2007, consid. 3.2; cfr. anche DTF 130 II 14 consid. 4.1). La trasmis- sione dell'intera documentazione potrà evitare altresì l'inoltro di eventuali do- mande complementari (DTF 136 IV 82 consid. 4.1; 121 II 241 consid. 3; sen- tenza del Tribunale federale 1C_486/2008 dell'11 novembre 2008, consid. 2.4). Si tratta di una maniera di procedere necessaria, se del caso, ad accer- tare anche l'estraneità delle persone interessate (DTF 129 II 462 consid. 5.5; sentenze del Tribunale federale 1A.182/2006 del 9 agosto 2007, consid. 2.3 e 3.2; 1A.52/2007 del 20 luglio 2007, consid. 2.1.3; 1A.227/2006 del 22 feb- braio 2007, consid. 3.2; 1A.195/2005 del 1° settembre 2005 in fine; 1A.79/2005 del 27 aprile 2005, consid. 4.1). In base alla giurisprudenza l'e- same va quindi limitato alla cosiddetta utilità potenziale, secondo cui la con- segna giusta l'art. 74 AIMP è esclusa soltanto per quei mezzi di prova certa- mente privi di rilevanza per il procedimento penale all'estero (DTF 126 II 258 consid. 9c; 122 II 367 consid. 2c; 121 II 241 consid. 3a e b). Vietata in parti- colare è la cosiddetta "fishing expedition", la quale è definita dalla giurispru- denza una ricerca generale ed indiscriminata di mezzi di prova volta a fon- 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w:t>
      </w:r>
    </w:p>
    <w:p>
      <w:r>
        <w:t>- 9 -</w:t>
      </w:r>
    </w:p>
    <w:p>
      <w:r>
        <w:t>vieto si fonda semplicemente sul fatto che è inammissibile procedere a ca- saccio nella raccolta delle prove (DTF 113 I 257 consid. 5c), il che non sa- rebbe nemmeno conciliabile con le stesse funzioni di base dell'assistenza internazionale in materia penale (v. DONATSCH/HEIMGARTNER/ MEYER/SIMONEK, Internationale Rechtshilfe, 2a ediz., Zurigo/Basilea/Gine- vra 2015, pag. 93 e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