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RR.2015.42 vom 10. Juli 2015</w:t>
      </w:r>
    </w:p>
    <w:p>
      <w:r>
        <w:t>Bundesstrafgericht, 2015-07-10, FR</w:t>
      </w:r>
    </w:p>
    <w:p>
      <w:r>
        <w:rPr>
          <w:b/>
        </w:rPr>
        <w:t xml:space="preserve">Quelle: </w:t>
      </w:r>
      <w:r>
        <w:t>https://mcp.opencaselaw.ch/entscheid/bstger_RR.2015.42</w:t>
      </w:r>
    </w:p>
    <w:p>
      <w:r>
        <w:t>FR: TPF RR.2015.42 du 10 juillet 2015</w:t>
      </w:r>
    </w:p>
    <w:p>
      <w:r>
        <w:t>IT: TPF RR.2015.42 del 10 luglio 2015</w:t>
      </w:r>
    </w:p>
    <w:p>
      <w:pPr>
        <w:pStyle w:val="Heading2"/>
      </w:pPr>
      <w:r>
        <w:t>Regeste</w:t>
      </w:r>
    </w:p>
    <w:p>
      <w:r>
        <w:t>Entraide judiciaire internationale en matière pénale au Venezuela. Remise de moyens de preuve (art. 74 EIMP).</w:t>
      </w:r>
    </w:p>
    <w:p>
      <w:pPr>
        <w:pStyle w:val="Heading2"/>
      </w:pPr>
      <w:r>
        <w:t>Erwägungen</w:t>
      </w:r>
    </w:p>
    <w:p>
      <w:r>
        <w:rPr>
          <w:b/>
        </w:rPr>
        <w:t>E. 1.1</w:t>
      </w:r>
    </w:p>
    <w:p>
      <w:r>
        <w:t>L'entraide judiciaire entre le Venezuela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1.3</w:t>
      </w:r>
    </w:p>
    <w:p>
      <w:r>
        <w:t>Ainsi qu'on l'a vu (let. E), A. SA est devenue F. SA le 11 décembre 2014, soit un mois environ avant le dépôt du recours. Il ne ressort pas des pièces figurant au dossier que cette modification aurait été accompagnée ou suivie du moindre changement matériel (s'agissant notamment de la structure ou du patrimoine) de la personne morale en question et il n'y a aucun motif de penser que tel serait le cas. Autrement dit, ces deux raisons sociales désignent une seule et même entité, qui matériellement n'a pas subi de modifications depuis que la décision litigieuse a été rendue. Dans ces conditions, le fait que le recours émane de A. SA et non de SA n'a pas d'incidence sur sa recevabilité.</w:t>
      </w:r>
    </w:p>
    <w:p>
      <w:r>
        <w:t>- 4 -</w:t>
      </w:r>
    </w:p>
    <w:p>
      <w:r>
        <w:rPr>
          <w:b/>
        </w:rPr>
        <w:t>E. 1.4</w:t>
      </w:r>
    </w:p>
    <w:p>
      <w:r>
        <w:t>En tant que titulaire du compte bancaire visé par la décision litigieuse, – qualité que revêt actuellement F. SA – la recourante a qualité pour recourir (art. 80h let. b EIMP et 9a let. a OEIMP).</w:t>
      </w:r>
    </w:p>
    <w:p>
      <w:r>
        <w:rPr>
          <w:b/>
        </w:rPr>
        <w:t>E. 1.5</w:t>
      </w:r>
    </w:p>
    <w:p>
      <w:r>
        <w:t>La recourante, société domiciliée à l'étranger, a été informée par la banque E. le 17 décembre 2014 de l'existence de la décision litigieuse. Le recours, interjeté le 16 janvier 2015, est donc intervenu en temps utile (arrêt du Tribunal pénal fédéral RR.2011.57 du 26 mai 2011, consid. 2.1 et les références citées, en lien avec l'art. 80k EIMP).</w:t>
      </w:r>
    </w:p>
    <w:p>
      <w:r>
        <w:rPr>
          <w:b/>
        </w:rPr>
        <w:t>E. 1.6</w:t>
      </w:r>
    </w:p>
    <w:p>
      <w:r>
        <w:t>Il y a donc lieu d'entrer en matière.</w:t>
      </w:r>
    </w:p>
    <w:p>
      <w:r>
        <w:rPr>
          <w:b/>
        </w:rPr>
        <w:t>E. 2.1</w:t>
      </w:r>
    </w:p>
    <w:p>
      <w:r>
        <w:t>La recourante se plaint d'une violation du principe de la proportionnalité. Selon elle, la documentation bancaire dont la transmission a été ordonnée ne correspond pas aux éléments requis dans la demande d'entraide – laquelle vise uniquement les documents relatifs au compte n° 1 auprès de la banque D. Au surplus, seule une partie des pièces la composant serait susceptible de présenter à première vue des liens avec les investigations menées au Venezuela, soit un ordre de paiement qu'elle a donné à la banque D., l'avis de débit y relatif, du 1er novembre 2012, un contrat de cession du 29 octobre précédent, ainsi que le relevé du compte en question pour le mois de novembre 2012. Or, il ressortirait des trois premiers documents précités, considérés dans leur ensemble, que ceux-ci concernent une opération en tous points conforme au droit et ne sont donc pas susceptibles d'intéresser les autorités vénézuéliennes. Les autres transactions opérées sur le compte litigieux dans le courant du mois de novembre 2012 résulteraient de contrats qu'elle a passés avec des tiers dans le cadre de son activité de factoring; à ce titre, elles seraient totalement étrangères aux faits investigués au Venezuela et couvertes par le secret des affaires. Pour ce dernier motif, la transmission spontanée des relevés en cause serait par ailleurs exclue.</w:t>
      </w:r>
    </w:p>
    <w:p>
      <w:r>
        <w:rPr>
          <w:b/>
        </w:rPr>
        <w:t>E. 2.2</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w:t>
      </w:r>
    </w:p>
    <w:p>
      <w:r>
        <w:t>- 5 -</w:t>
      </w:r>
    </w:p>
    <w:p>
      <w:r>
        <w:t>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 e éd., Berne 2014, n° 723, p. 748 s.).</w:t>
      </w:r>
    </w:p>
    <w:p>
      <w:r>
        <w:rPr>
          <w:b/>
        </w:rPr>
        <w:t>E. 2.3</w:t>
      </w:r>
    </w:p>
    <w:p>
      <w:r>
        <w:t>La recourante ne conteste à raison pas l'existence d'un lien, suffisant pour justifier l'entraide, entre les documents (ordre de paiement, avis de débit et contrat de cession) relatifs au transfert de fonds en novembre 2012 de la relation litigieuse vers un compte détenu par B. et l'enquête menée au Venezuela contre le prénommé. Son argumentation selon laquelle cette transaction repose sur une convention conforme au droit est dénuée de pertinence, étant donné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Quant aux autres documents dont la transmission a été ordonnée par le MP-GE – singulièrement le relevé du compte litigieux pour le mois de novembre 2014 et la documentation d'ouverture de celui-ci –, ils sont susceptibles de mettre en lumière des faits pouvant légitimement intéresser l'Etat requérant, en particulier d'éventuels montages financiers destinés au blanchiment d'argent, mis en place par B., le cas échéant avec</w:t>
      </w:r>
    </w:p>
    <w:p>
      <w:r>
        <w:t>- 6 -</w:t>
      </w:r>
    </w:p>
    <w:p>
      <w:r>
        <w:t>le concours d'autres personnes, ou par des tiers. Ils présentent donc une utilité potentielle pour le Venezuela. Dans ces conditions, le grief tiré d'une violation du principe de proportionnalité est mal fondé.</w:t>
      </w:r>
    </w:p>
    <w:p>
      <w:r>
        <w:rPr>
          <w:b/>
        </w:rPr>
        <w:t>E. 3</w:t>
      </w:r>
    </w:p>
    <w:p>
      <w:r>
        <w:t>Au vu de ce qui précède, le recours devrait en principe être rejeté et, partant, la documentation bancaire être transmise à l'Etat requérant ainsi que l'ordonne la décision entreprise.</w:t>
      </w:r>
    </w:p>
    <w:p>
      <w:r>
        <w:t>Cela étant, dans l'arrêt RR.2015.11, la Cour de céans a admis le grief tiré d'une violation de l'art. 2 EIMP soulevé par B., qui se plaignait de conditions de détention inhumaines et dégradantes, et a pour ce motif fait dépendre la remise de la documentation bancaire à l'Etat requérant de la remise de garanties diplomatiques (consid. 5 s.). Les documents litigieux dans la présente procédure concernant également l'enquête ouverte par le Venezuela contre le prénommé, il y a lieu, vu les circonstances particulières de l'espèce, de subordonner leur remise à cet Etat aux mêmes conditions que celles posées dans ledit arrêt, à savoir:</w:t>
      </w:r>
    </w:p>
    <w:p>
      <w:r>
        <w:t>a) Les conditions de détention ne seront pas inhumaines ou dégradantes au sens de l'art. 7 du PACTE ONU II. En particulier, la détention doit se dérouler dans une cellule salubre (température, air, lumière, espace, eau, etc.) et le détenu doit avoir la possibilité d'une promenade journalière. b) Tout traitement portant atteinte à l'intégrité physique ou psychique du détenu sera exclu. c) La santé du détenu sera assurée de manière adéquate, notamment par l'accès aux soins médicaux suffisants requis par son état de santé. d) La représentation diplomatique suisse pourra par ailleurs rendre visite, en tout temps et sans contrôle, au détenu, et celui-ci pourra également s'adresser à elle en tout temps. e) La représentation diplomatique suisse sera informée de tout éventuel transfèrement du détenu.</w:t>
      </w:r>
    </w:p>
    <w:p>
      <w:r>
        <w:t>Après le prononcé du présent arrêt, l'OFJ communiquera ces conditions à l'Etat requérant, selon les modalités adéquates, en lui impartissant un délai approprié pour déclarer s'il les accepte ou les refuse (art. 80p al. 2 EIMP). Il décidera ensuite si la réponse de l'Etat requérant constitue un engagement suffisant (art. 80p al. 3 EIMP). Cette décision sera attaquable séparément (art. 80p al. 4 EIMP).</w:t>
      </w:r>
    </w:p>
    <w:p>
      <w:r>
        <w:rPr>
          <w:b/>
        </w:rPr>
        <w:t>E. 4</w:t>
      </w:r>
    </w:p>
    <w:p>
      <w:r>
        <w:t>Compte tenu de ce qui précède, la décision entreprise doit être réformée, ce qui conduit à l'admission du recours.</w:t>
      </w:r>
    </w:p>
    <w:p>
      <w:r>
        <w:t>- 7 -</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à la recourante l'avance de frais versée par CHF 5'000.--.</w:t>
      </w:r>
    </w:p>
    <w:p>
      <w:r>
        <w:rPr>
          <w:b/>
        </w:rPr>
        <w:t>E. 6</w:t>
      </w:r>
    </w:p>
    <w:p>
      <w:r>
        <w:t>Dans la mesure où la recourante a obtenu gain de cause, elle a droit à une indemnité au sens de l'art. 64 al. 1 PA (TPF 2008 172 consid. 7.2). En l'espèce, le conseil de la recourante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2'500.--, à la charge de la partie adverse.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