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RR.2015.4 vom 24. Februar 2015</w:t>
      </w:r>
    </w:p>
    <w:p>
      <w:r>
        <w:t>Bundesstrafgericht, 2015-02-24, DE</w:t>
      </w:r>
    </w:p>
    <w:p>
      <w:r>
        <w:rPr>
          <w:b/>
        </w:rPr>
        <w:t xml:space="preserve">Quelle: </w:t>
      </w:r>
      <w:r>
        <w:t>https://mcp.opencaselaw.ch/entscheid/bstger_RR.2015.4</w:t>
      </w:r>
    </w:p>
    <w:p>
      <w:r>
        <w:t>FR: TPF RR.2015.4 du 24 février 2015</w:t>
      </w:r>
    </w:p>
    <w:p>
      <w:r>
        <w:t>IT: TPF RR.2015.4 del 24 febbraio 2015</w:t>
      </w:r>
    </w:p>
    <w:p>
      <w:pPr>
        <w:pStyle w:val="Heading2"/>
      </w:pPr>
      <w:r>
        <w:t>Regeste</w:t>
      </w:r>
    </w:p>
    <w:p>
      <w:r>
        <w:t>Internationale Rechtshilfe in Strafsachen an Deutschland. Herausgabe von Beweismitteln (Art. 74 IRSG).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Januar 2015 und somit während andauernder hundertprozentiger Arbeits- unfähigkeit doch möglich gewesen ist, eine Poststelle aufzusuchen;</w:t>
      </w:r>
    </w:p>
    <w:p>
      <w:r>
        <w:t>- sich der vorliegende Fall vom bereits im September 2014 vom Beschwerde- führer angestrengten Beschwerdeverfahren dahingehend unterscheidet, als die seinerzeitige Beschwerde formgültig und fristgerecht erhoben wurde;</w:t>
      </w:r>
    </w:p>
    <w:p>
      <w:r>
        <w:t>- sich die vorliegende Beschwerde nach dem Gesagten als verspätet erweist, weshalb auf diese nicht einzutreten ist;</w:t>
      </w:r>
    </w:p>
    <w:p>
      <w:r>
        <w:t>- bei diesem Ausgang des Verfahrens die Gerichtskosten dem Beschwerde- führer aufzuerlegen sind (Art. 63 Abs. 1 VwVG);</w:t>
      </w:r>
    </w:p>
    <w:p>
      <w:r>
        <w:t>- die entsprechende Gerichtsgebühr auf Fr. 500.– festzusetzen ist (Art. 63 Abs. 5 VwVG i.V.m. Art. 73 StBOG sowie Art. 5 und 8 Abs. 3 lit. a des Reg- lements des Bundesstrafgerichts vom 31. August 2010 über die Kosten, Ge- bühren und Entschädigungen in Bundesstrafverfahren [BStKR; SR 173.713.162]);</w:t>
      </w:r>
    </w:p>
    <w:p>
      <w:r>
        <w:t>- 5 -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