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RR.2015.37 vom 9. Februar 2015</w:t>
      </w:r>
    </w:p>
    <w:p>
      <w:r>
        <w:t>Bundesstrafgericht, 2015-02-09, FR</w:t>
      </w:r>
    </w:p>
    <w:p>
      <w:r>
        <w:rPr>
          <w:b/>
        </w:rPr>
        <w:t xml:space="preserve">Quelle: </w:t>
      </w:r>
      <w:r>
        <w:t>https://mcp.opencaselaw.ch/entscheid/bstger_RR.2015.37</w:t>
      </w:r>
    </w:p>
    <w:p>
      <w:r>
        <w:t>FR: TPF RR.2015.37 du 9 février 2015</w:t>
      </w:r>
    </w:p>
    <w:p>
      <w:r>
        <w:t>IT: TPF RR.2015.37 del 9 febbraio 2015</w:t>
      </w:r>
    </w:p>
    <w:p>
      <w:pPr>
        <w:pStyle w:val="Heading2"/>
      </w:pPr>
      <w:r>
        <w:t>Regeste</w:t>
      </w:r>
    </w:p>
    <w:p>
      <w:r>
        <w:t>Surveillance de la correspondance par poste et télécommunication (art. 18a EIMP); remise de moyens de preuve (art. 74 EIMP; effet suspensif; art. 80l EIMP).</w:t>
      </w:r>
    </w:p>
    <w:p>
      <w:pPr>
        <w:pStyle w:val="Heading2"/>
      </w:pPr>
      <w:r>
        <w:t>Erwägungen</w:t>
      </w:r>
    </w:p>
    <w:p>
      <w:r>
        <w:rPr>
          <w:b/>
        </w:rPr>
        <w:t>E. 1</w:t>
      </w:r>
    </w:p>
    <w:p>
      <w:r>
        <w:t>L'entraide judiciaire entre le Canada et la Confédération suisse est prioritai- rement régie par le Traité d'entraide judiciaire en matière pénale du 7 oc- tobre 1993 entre la Suisse et le Canada (RS 0.351.923.2; ci-après: TEJ- CAN), entré en vigueur le 17 novembre 1995. Les dispositions de ce traité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t>- 7 -</w:t>
      </w:r>
    </w:p>
    <w:p>
      <w:r>
        <w:rPr>
          <w:b/>
        </w:rPr>
        <w:t>E. 1.4</w:t>
      </w:r>
    </w:p>
    <w:p>
      <w:r>
        <w:t>et références citées), mais ces derniers ne trouvent pas application in casu. En effet, d'une part, les conversations concernées ne contiennent aucune information bancaire. D'autre part, il ne s'agit pas de procès- verbaux d'audition du recourant. Il en résulte que son recours est irrece- vable.</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Elle l'est également pour connaître des recours contre des dé- cisions rendues par le TMC en application de l'art. 18a EIMP (arrêt du Tri- bunal fédéral 1C_36/2015 du 19 janvier 2015).</w:t>
      </w:r>
    </w:p>
    <w:p>
      <w:r>
        <w:rPr>
          <w:b/>
        </w:rPr>
        <w:t>E. 3</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loi fédérale sur la procédure administrative (ci-après: PA; RS 172.021), applicable à la pré- sente cause par renvoi de l'art. 12 al. 1 EIMP, l'institution de la jonction des causes est néanmoins admise en pratique (arrêt du Tribunal pénal fédéral RR.2011.103-104/136-138 du 21 novembre 2011, consid. 2 et références citées). En l'occurrence, il y a lieu de procéder à la jonction des procédures, RR.2015.37 et RR.2015.38 compte tenu du fait que les deux probléma- tiques qu'elles concernent sont intrinsèquement liées.</w:t>
      </w:r>
    </w:p>
    <w:p>
      <w:r>
        <w:rPr>
          <w:b/>
        </w:rPr>
        <w:t>E. 4</w:t>
      </w:r>
    </w:p>
    <w:p>
      <w:r>
        <w:t>Les deux recours ont été déposés dans le respect des délais légaux.</w:t>
      </w:r>
    </w:p>
    <w:p>
      <w:r>
        <w:rPr>
          <w:b/>
        </w:rPr>
        <w:t>E. 5.1</w:t>
      </w:r>
    </w:p>
    <w:p>
      <w:r>
        <w:t>Dans un premier acte du 15 janvier 2015, le recourant s'en prend à la communication que lui a faite le MPC le 30 décembre 2014 l'informant de la décision du TMC du 28 novembre 2014 autorisant l'utilisation, dans la pro- cédure d'entraide avec le Canada, des résultats de la surveillance télépho- nique opérée dans le cadre de la procédure pénale nationale sur le numéro de B. (RR.2015.37 act. 1).</w:t>
      </w:r>
    </w:p>
    <w:p>
      <w:r>
        <w:rPr>
          <w:b/>
        </w:rPr>
        <w:t>E. 5.2</w:t>
      </w:r>
    </w:p>
    <w:p>
      <w:r>
        <w:t>L'art. 18a EIMP prévoit la possibilité de procéder à de la surveillance des télécommunications si l'Etat requérant le demande expressément. Dans un tel cas, si c'est le MPC qui est saisi de cette requête, l'ordre de surveillance est soumis à l'approbation du TMC (art. 18a al. 3 let. a EIMP). Les condi-</w:t>
      </w:r>
    </w:p>
    <w:p>
      <w:r>
        <w:t>- 8 -</w:t>
      </w:r>
    </w:p>
    <w:p>
      <w:r>
        <w:t>tions de la surveillance et la procédure sont régies par les art. 269 à 279 CPP et par la loi fédérale concernant la surveillance de la correspondance par poste et télécommunication (LSCPT; RS 780.1). Ainsi, à teneur de l'art. 279 CPP, au plus tard lors de la clôture de la procédure prélimi- naire, le ministère public communique au prévenu ainsi qu'au tiers qui ont fait l'objet d'une surveillance les motifs, le mode et la durée de la surveil- lance (al. 1). Les personnes dont le raccordement de télécommunication ou l'adresse postale ont été surveillés ou celles qui ont utilisé le même raccor- dement ou la même adresse postale peuvent interjeter recours conformé- ment aux art. 393 à 397 CPP. Le délai de recours commence à courir dès la réception de la communication (al. 3).</w:t>
      </w:r>
    </w:p>
    <w:p>
      <w:r>
        <w:rPr>
          <w:b/>
        </w:rPr>
        <w:t>E. 5.3</w:t>
      </w:r>
    </w:p>
    <w:p>
      <w:r>
        <w:t>Le cas de figure concerné ici n'est ainsi pas expressément prévu par le lé- gislateur. En effet, en l'espèce, les données qui ont été communiquées aux autorités canadiennes ne résultent pas d'une surveillance des télécommu- nications ordonnée suite à la demande de l'Etat requérant dans le cadre d'une demande d'entraide mais de contrôles téléphoniques exécutés dans la procédure pénale nationale. Il reste que faisant application par analogie de l'art. 18a EIMP précité, le MPC a saisi le TMC qui lui a délivré l'autorisa- tion d'utiliser les résultats y relatifs dans le cadre de la procédure d'entraide avec le Canada, à la condition toutefois que les personnes visées par la surveillance en soient dûment informées en application de l'art. 279 al. 1 CPP. Le MPC s'est exécuté en ce sens par son courrier du 30 décembre 2014 (RR.2015.37 act. 1.3). C'est cet écrit qui a ouvert la voie du recours au sens de l'art. 279 al. 3 CPP précité. In casu, on peut laisser ouverte la question de savoir si cette décision doit être considérée comme une déci- sion incidente non susceptible de recours immédiat à l'instar des décisions rendues dans le cadre de l'entraide en matière de scellés (ATF 138 IV 40 consid. 2.3.1; 126 II 495 consid. 3) ou si le renvoi, par l'art. 18a EIMP en lien avec l'art. 279 al. 3 CPP, aux dispositions sur le recours dans le CPP ouvre une voie de droit spéciale. De fait, seules peuvent recourir contre la communication des contrôles téléphoniques réalisés les personnes dont le raccordement de télécommunication a été surveillé ou celles qui ont utilisé le même raccordement (art. 279 al. 3 CPP). Tel n'est en l'occurrence pas le cas du recourant. Il n'est en effet ni titulaire du raccordement qui a fait l'ob- jet de la mesure de surveillance ni suspecté de l'avoir utilisé. Il ne revêt dès lors pas la qualité pour agir au sens de l'art. 279 al. 3 CPP. Son recours à cet égard est en conséquence irrecevable.</w:t>
      </w:r>
    </w:p>
    <w:p>
      <w:r>
        <w:t>- 9 -</w:t>
      </w:r>
    </w:p>
    <w:p>
      <w:r>
        <w:rPr>
          <w:b/>
        </w:rPr>
        <w:t>E. 6.1</w:t>
      </w:r>
    </w:p>
    <w:p>
      <w:r>
        <w:t>Par son recours du 16 janvier 2015, le recourant conteste également l'ordonnance d'entrée en matière complémentaire rendue par le MPC le 26 novembre 2014. Il fait valoir subir un préjudice immédiat et irréparable puisque les informations tirées de la surveillance téléphonique concernée ont déjà été communiquées à l'autorité requérante et retient de ce fait que la décision entreprise est en réalité une décision de clôture. Il invoque en outre une violation du droit d'être entendu, l'ordonnance contestée ne lui ayant jamais été notifiée, ce qui l'a au surplus privé du droit de consulter le dossier et de se déterminer pièce par pièce sur les documents et éléments de preuve devant être remis à l'autorité requérante.</w:t>
      </w:r>
    </w:p>
    <w:p>
      <w:r>
        <w:rPr>
          <w:b/>
        </w:rPr>
        <w:t>E. 6.2</w:t>
      </w:r>
    </w:p>
    <w:p>
      <w:r>
        <w:t>Selon l'art. 80h let. b EIMP, a qualité pour agir quiconque est touché per- sonnellement et directement par une mesure d'entraide et a un intérêt digne de protection à ce qu'elle soit annulée ou modifiée. La personne vi- sée par la procédure pénale étrangère peut recourir aux mêmes conditions (art. 21 al. 3 EIMP). L'art. 9a OEIMP précise qu'en cas d'informations sur un compte bancaire, seul le titulaire du compte a qualité pour agir (let. a) et qu'en cas de perquisition, seul le propriétaire ou le locataire peuvent agir (let. b). Sur la base de ces dispositions, la jurisprudence reconnaît la quali- té pour recourir à la personne qui doit se soumettre personnellement à une mesure d'entraide. Elle reconnaît ainsi la qualité pour agir au titulaire d'un compte bancaire dont les pièces sont saisies, mais la dénie à l'ayant droit économique de ce compte (ATF 130 II 162 consid. 1.1 et les exemples de jurisprudence cités; 122 II 130 consid. 2b), ainsi qu'à l'auteur de documents saisis en mains de tiers, et cela même si la transmission de renseigne- ments demandés entraîne la révélation de son identité (ATF 130 II 162 ibi- dem). De même, en cas d'audition de témoin, seul a qualité pour agir le témoin lui-même, dans la mesure où les renseignements communiqués le concernent personnellement ou lorsqu'il se prévaut de son droit de refuser de témoigner (ATF 126 II 258 consid. 2d/bb). La personne poursuivie à l'étranger n'a pas non plus qualité pour s'opposer au témoignage d'un tiers, quand bien même il pourrait se trouver ainsi mis en cause (ATF 124 II 180 consid. 2b).</w:t>
      </w:r>
    </w:p>
    <w:p>
      <w:r>
        <w:rPr>
          <w:b/>
        </w:rPr>
        <w:t>E. 6.3</w:t>
      </w:r>
    </w:p>
    <w:p>
      <w:r>
        <w:t>En l'occurrence, le recourant n'est pas directement touché, au sens des dispositions et de la jurisprudence précitées, par la remise des procès- verbaux des conversations téléphoniques obtenues par le biais des me- sures de surveillance sur le raccordement de B. On relèvera au surplus que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w:t>
      </w:r>
    </w:p>
    <w:p>
      <w:r>
        <w:t>- 10 -</w:t>
      </w:r>
    </w:p>
    <w:p>
      <w:r>
        <w:t>(TPF 2007 79 consid. 1.6.3 et les références citées). Il est vrai que la juris- prudence a tempéré ce principe, notamment dans deux cas (arrêt du Tri- bunal pénal fédéral RR.2013.363 + RP.2013.63 du 11 mars 2014, consid.</w:t>
      </w:r>
    </w:p>
    <w:p>
      <w:r>
        <w:rPr>
          <w:b/>
        </w:rPr>
        <w:t>E. 7</w:t>
      </w:r>
    </w:p>
    <w:p>
      <w:r>
        <w:t>Vu l'issue des recours, il a été renoncé à procéder à un échange d'écriture (art. 57 al. 1 PA a contrario).</w:t>
      </w:r>
    </w:p>
    <w:p>
      <w:r>
        <w:rPr>
          <w:b/>
        </w:rPr>
        <w:t>E. 8</w:t>
      </w:r>
    </w:p>
    <w:p>
      <w:r>
        <w:t>Les demandes d'effet suspensif sont devenues sans objet et l'effet suspen- sif octroyé à titre superprovisoire doit être révoqué.</w:t>
      </w:r>
    </w:p>
    <w:p>
      <w:r>
        <w:rPr>
          <w:b/>
        </w:rPr>
        <w:t>E. 9</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fixé à CHF 4'000.-- (art. 73 al. 2 LOAP et art. 8 al. 3 du rè- glement du Tribunal pénal fédéral sur les frais, émoluments, dépens et in- demnités de la procédure pénale fédérale du 31 août 2010 [RFPPF; RS 173.713.162] et art. 63 al. 5 PA), couvert par les avances de frais déjà versées. La caisse du Tribunal pénal fédéral restituera au conseil du recou- rant le solde par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