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RR.2015.301 vom 24. März 2016</w:t>
      </w:r>
    </w:p>
    <w:p>
      <w:r>
        <w:t>Bundesstrafgericht, 2016-03-24, DE</w:t>
      </w:r>
    </w:p>
    <w:p>
      <w:r>
        <w:rPr>
          <w:b/>
        </w:rPr>
        <w:t xml:space="preserve">Quelle: </w:t>
      </w:r>
      <w:r>
        <w:t>https://mcp.opencaselaw.ch/entscheid/bstger_RR.2015.301</w:t>
      </w:r>
    </w:p>
    <w:p>
      <w:r>
        <w:t>FR: TPF RR.2015.301 du 24 mars 2016</w:t>
      </w:r>
    </w:p>
    <w:p>
      <w:r>
        <w:t>IT: TPF RR.2015.301 del 24 marzo 2016</w:t>
      </w:r>
    </w:p>
    <w:p>
      <w:pPr>
        <w:pStyle w:val="Heading2"/>
      </w:pPr>
      <w:r>
        <w:t>Regeste</w:t>
      </w:r>
    </w:p>
    <w:p>
      <w:r>
        <w:t>Weiterlieferung an Deutschland (Art. 15 EAUe).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Dezember 1957 (EAUe; SR 0.353.1), das hierzu ergangene zweite Zusatzprotokoll vom 17. März 1978 (ZPII EAUe; SR 0.353.12), welchem beide Staaten beigetreten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Bundesgesetz vom 20. März 1981 (Rechtshilfegesetz, IRSG; SR 351.1) und die Verordnung vom 24. Februar 1982 über internationale Rechtshilfe in Strafsachen (Rechtshilfeverordnung, IRSV; SR 351.11). Dies gilt auch im Verhältnis zum SDÜ (Art. 1 Abs. 1 lit. a IRSG). Das innerstaatliche Recht</w:t>
      </w:r>
    </w:p>
    <w:p>
      <w:r>
        <w:t>gelangt nach dem Günstigkeitsprinzip auch dann zur Anwendung, wenn dieses geringere Anforderungen an die Rechtshilfe stellt (BGE 140 IV 123 E.</w:t>
      </w:r>
    </w:p>
    <w:p>
      <w:r>
        <w:rPr>
          <w:b/>
        </w:rPr>
        <w:t>E. 2</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w:t>
      </w:r>
    </w:p>
    <w:p>
      <w:r>
        <w:t>Der Auslieferungsentscheid vom 15. Oktober 2015 wurde am 16. November 2015 – somit innerhalb der Beschwerdefrist – angefochten. Die übrigen Eintretensvoraussetzungen geben zu keinen Bemerkungen Anlass. Auf die Beschwerde ist daher einzutreten.</w:t>
      </w:r>
    </w:p>
    <w:p>
      <w:r>
        <w:rPr>
          <w:b/>
        </w:rPr>
        <w:t>E. 3</w:t>
      </w:r>
    </w:p>
    <w:p>
      <w:r>
        <w:t>Die Beschwerdekammer ist nicht an die Begehren der Parteien gebunden (Art. 25 Abs. 6 IRSG). Sie prüft die Auslieferungsvoraussetzungen mit freier Kognition, befasst sich jedoch nur mit Tat- und Rechtsfragen, die Streitgegenstand der Beschwerde bilden (vgl. zuletzt Entscheid des Bundesstrafgerichts RR.2015.287 vom 25. November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w:t>
      </w:r>
    </w:p>
    <w:p>
      <w:r>
        <w:t>Nachfolgend ist zu prüfen, ob die Weiterlieferung des Beschwerdeführers an Deutschland zulässig ist. Nach dem Grundsatz der Spezialität, der das gesamte Auslieferungsrecht beherrscht und in Art. 14 EAUe seinen Ausdruck findet, darf der Ausgelieferte wegen Taten, die er vor der Übergabe begangen hat und für welche die Auslieferung nicht bewilligt worden ist, im ersuchenden Staat nicht verfolgt werden (BGE 110 Ib 188 E. 3b). Jedoch darf der ersuchende Staat (hier: Österreich) gemäss Art. 15 EAUe – ausser im dem hier nicht zutreffenden Falle des Art. 14 Ziff. 1 lit. b – den ihm Ausgelieferten, der von einer anderen Vertragspartei (hier: Deutschland) oder einem dritten Staat wegen vor der Übergabe begangener strafbarer Handlungen gesucht wird, mit Zustimmung des ersuchten Staates (hier: Schweiz) der anderen Vertragspartei oder dem dritten Staat ausliefern. Die Schweiz prüft das Ersuchen des ersuchenden Staates, als ob es sich um ein Ersuchen handelt, welches ihr direkt unterbreitet wurde. Damit ist gewährleistet, dass die betroffene Person nicht für eine Handlung weitergeliefert wird, für welche die Schweiz die Auslieferung nicht gewährt hätte (vgl. Urteil des Bundesgerichts 1A.306/2000 vom 12. Februar 2001, E. 2).</w:t>
      </w:r>
    </w:p>
    <w:p>
      <w:r>
        <w:rPr>
          <w:b/>
        </w:rPr>
        <w:t>E. 5.1</w:t>
      </w:r>
    </w:p>
    <w:p>
      <w:r>
        <w:t>Der Rechtsvertreter des Beschwerdeführers bringt vor, dass diesem in Deutschland sehr schwere Delikte vorgeworfen würden. In der Schweiz müsste ein Beschuldigter bei solch schweren Vorwürfen gestützt auf Art. 130 StPO notwendig verteidigt werden. Soweit ersichtlich sei der Beschwerdeführer bei seiner Einvernahme (betreffend seine Auslieferung an Deutschland) in Österreich vom 19. August 2015 nicht anwaltlich vertreten gewesen, weshalb ein Verstoss gegen grundlegende Verfahrensregeln (Art. 2 lit. a IRSG) begangen worden sei (act. 1).</w:t>
      </w:r>
    </w:p>
    <w:p>
      <w:r>
        <w:rPr>
          <w:b/>
        </w:rPr>
        <w:t>E. 5.2</w:t>
      </w:r>
    </w:p>
    <w:p>
      <w:r>
        <w:t>Zunächst gilt es festzuhalten, dass der Analogieschluss des Rechts- vertreters des Beschwerdeführers hinkt: In hiesigen Auslieferungsverfahren i.e.S. ist die Vertretung des Verfolgten in Art. 21 Abs. 1 IRSG geregelt. Mithin erscheint die Bezugnahme auf den im Strafverfahren massgebenden Art. 130 StPO als nicht nachvollziehbar.</w:t>
      </w:r>
    </w:p>
    <w:p>
      <w:r>
        <w:rPr>
          <w:b/>
        </w:rPr>
        <w:t>E. 5.3</w:t>
      </w:r>
    </w:p>
    <w:p>
      <w:r>
        <w:t>Gemäss Art. 2 lit. a IRSG wird einem Ersuchen um Zusammenarbeit in Strafsachen nicht entsprochen, wenn Gründe für die Annahme bestehen, dass das Verfahren im Ausland den in der EMRK oder im Internationalen Pakt vom 16. Dezember 1966 über bürgerliche und politische Rechte (UNO- Pakt II; SR 0.103.2) festgelegten Verfahrensgrundsätzen nicht entspricht.</w:t>
      </w:r>
    </w:p>
    <w:p>
      <w:r>
        <w:t>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135 I 191 E. 2.1; 133 IV 40 E. 7.1; 130 II 217 E. 8.1; TPF 2012 144 E. 5.1.1; TPF 2010 56 E. 6.3.2 S. 62). Aus dieser Zielsetzung ergibt sich, dass einzelne Verfahrensverstösse im ausländischen 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Verfahren insgesamt die durch die EMRK und den UNO-Pakt II umschriebenen Minimalgarantien nicht erfüllt (Urteil des Bundesgerichts 1A.226/2000 vom 6. November 2000, E. 3b). Dabei muss der Verfolgte glaubhaft machen, dass objektiv und ernsthaft eine schwerwiegende Verletzung der Menschenrechte im ersuchenden Staat zu befürchten ist, die ihn unmittelbar berührt (vgl. BGE 130 II 217 E. 8.1; 129 II 268 E. 6.1 S. 271; 126 II 324 E. 4a; TPF 2012 144 E. 5.1.1).</w:t>
      </w:r>
    </w:p>
    <w:p>
      <w:r>
        <w:rPr>
          <w:b/>
        </w:rPr>
        <w:t>E. 5.4</w:t>
      </w:r>
    </w:p>
    <w:p>
      <w:r>
        <w:t>Die Frage, inwiefern sich der Beschwerdeführer vorliegend in Bezug auf das österreichische Auslieferungsverfahren auf Art. 2 lit. a IRSG berufen kann, braucht nicht beantwortet zu werden, da mit Bezug auf das österreichische Auslieferungsverfahren nicht von einem Verfahren gesprochen werden kann, das insgesamt die durch die EMRK und den UNO-Pakt II umschriebenen Minimalgarantien nicht erfüllt.</w:t>
      </w:r>
    </w:p>
    <w:p>
      <w:r>
        <w:t>Die Schweiz lieferte den Beschwerdeführer am 10. Dezember 2014 an Österreich aus. In der Folge ersuchte Deutschland die österreichischen Behörden um Auslieferung des Beschwerdeführers. Im Rahmen des darauf folgenden österreichischen Auslieferungsverfahrens wurde der Beschwerdeführer durch die österreichischen Behörden am 19. August 2015 einvernommen. Gemäss den Ausführungen von Rechtsanwalt Carlo Bertossa sei der Beschwerdeführer bei dieser Einvernahme nicht anwaltlich vertreten gewesen - wobei sich Rechtsanwalt Carlo Bertossa selbst nicht sicher zu sein scheint (act. 1 S. S. 5 Ziff. 10). Selbst wenn dem Beschwerdeführer bei dieser Einvernahme - gestützt auf das dort massgebende Recht - ein Anwalt hätte beistehen müssen und mithin ein Verfahrensfehler im österreichischen Auslieferungsverfahren anzunehmen wäre, genügte dieser bei weitem nicht, um dem österreichischen Ersuchen gestützt auf Art. 2 lit. a IRSG nicht zu entsprechen. Somit ist diese Rüge unbegründet.</w:t>
      </w:r>
    </w:p>
    <w:p>
      <w:r>
        <w:rPr>
          <w:b/>
        </w:rPr>
        <w:t>E. 6.1</w:t>
      </w:r>
    </w:p>
    <w:p>
      <w:r>
        <w:t>Der Beschwerdeführer bringt weiter vor, dass er in der Zwischenzeit, mithin nach seiner Auslieferung vom 10. Dezember 2014 an Österreich (siehe supra lit. A), von den zuständigen österreichischen Strafverfolgungs- behörden verurteilt worden sei. Deutschland ersuche seine Auslieferung für Delikte, die er vor der Verurteilung in Österreich begangen habe. Da das deutsche Recht keine Bestimmung wie Art. 49 Abs. 1 StGB kenne, mithin in Deutschland keine Gesamtstrafe gebildet werden könne, weise die deutsche Strafuntersuchung "schwere Mängel" auf (act. 1).</w:t>
      </w:r>
    </w:p>
    <w:p>
      <w:r>
        <w:rPr>
          <w:b/>
        </w:rPr>
        <w:t>E. 6.2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(vgl. BGE 129 IV 113 E. 1.1).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132 IV 102 E. 8.2 mit Hinweisen).</w:t>
      </w:r>
    </w:p>
    <w:p>
      <w:r>
        <w:rPr>
          <w:b/>
        </w:rPr>
        <w:t>E. 6.3</w:t>
      </w:r>
    </w:p>
    <w:p>
      <w:r>
        <w:t>Aus dem Dargelegten geht hervor, dass vom Rechtsvertreter des Beschwerdeführers verkannt wird, dass für die von ihm beschriebene Konstellation in der Schweiz Art. 49 Abs. 2 StGB (retrospektive Konkurrenz) und nicht Art. 49 Abs. 1 StGB massgebend wäre und im Ergebnis gerügt wird, dass den Beschwerdeführer in Deutschland eine - im Vergleich zur Schweiz - für die gleichen Delikte schwerere Strafe erwartet.</w:t>
      </w:r>
    </w:p>
    <w:p>
      <w:r>
        <w:rPr>
          <w:b/>
        </w:rPr>
        <w:t>E. 6.4</w:t>
      </w:r>
    </w:p>
    <w:p>
      <w:r>
        <w:t>Nach internationalem Völkerrecht sind Folter und jede andere Art grausamer, unmenschlicher oder erniedrigender Behandlung oder Bestrafung verboten (Art. 10 Abs. 3 BV; Art. 3 EMRK, Art. 7 und 10 Ziff. 1</w:t>
      </w:r>
    </w:p>
    <w:p>
      <w:r>
        <w:t>UNO-Pakt II [SR 0.103.2]). Die besondere Strenge einer Strafe stellt grundsätzlich kein Auslieferungshindernis dar. Die Auslieferung kann nur abgelehnt werden, wenn die Strafe in keinem Verhältnis mehr zur Schwere der Straftat und zum Verschulden des Täters steht und deshalb als unerträglich harte, unmenschliche Strafe i.S.v. Art. 3 EMRK erscheint (vgl. BGE 121 II 296 E. 4a S. 299 f.; Urteil des Bundesgerichts 1A.135/2005 vom 22. August 2005, E. 3.4 mit Hinweisen; Entscheid des Bundesstrafgerichts RR.2010.281 vom 18. Januar 2011, E. 6.2; GARRÉ, Basler Kommentar, a.a.O., Art. 35 IRSG N. 15).</w:t>
      </w:r>
    </w:p>
    <w:p>
      <w:r>
        <w:rPr>
          <w:b/>
        </w:rPr>
        <w:t>E. 6.5</w:t>
      </w:r>
    </w:p>
    <w:p>
      <w:r>
        <w:t>Das deutsche Recht hat in § 55 D-StPO (nachträgliche Bildung einer Gesamtstrafe) ein Pendant zu Art. 49 Abs. 2 StGB. Aber selbst wenn dies nicht der Fall wäre, steht gänzlich ausser Zweifel, dass dies nicht eine unerträglich harte und unmenschliche Strafe zu indizieren vermag. Ohnehin übt die Schweiz im Rahmen eines Auslieferungsverfahrens eine gewisse Zurückhaltung in der Beurteilung der Kriminalpolitik des ersuchenden Staates (vgl. Entscheide des Bundesstrafgerichts RR.2007.34 vom 29. März 2007, E. 5.2; RR.2010.290 vom 16. Mai 2011, E. 7.2). Mithin ist auch diese Rüge ins unbegründet.</w:t>
      </w:r>
    </w:p>
    <w:p>
      <w:r>
        <w:rPr>
          <w:b/>
        </w:rPr>
        <w:t>E. 7</w:t>
      </w:r>
    </w:p>
    <w:p>
      <w:r>
        <w:t>Andere Auslieferungshindernisse werden weder geltend gemacht noch sind solche ersichtlich. Die Weiterlieferung des Beschwerdeführers an Deutschland ist daher zulässig. Die Beschwerde ist nach dem Gesagten in allen Punkten als unbegründet abzuweisen.</w:t>
      </w:r>
    </w:p>
    <w:p>
      <w:r>
        <w:rPr>
          <w:b/>
        </w:rPr>
        <w:t>E. 8</w:t>
      </w:r>
    </w:p>
    <w:p>
      <w:r>
        <w:t>Abs. 3 lit. a des Reglements des Bundesstrafgerichts vom 31. August 2010 über die Kosten, Gebühren und Entschädigungen in Bundesstrafverfahren [BStKR; SR 173.713.162]).</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8.2</w:t>
      </w:r>
    </w:p>
    <w:p>
      <w:r>
        <w:t>Wie oben dargelegt bestehen an der Rechtmässigkeit der Weiterlieferung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rPr>
          <w:b/>
        </w:rPr>
        <w:t>E. 8.3</w:t>
      </w:r>
    </w:p>
    <w:p>
      <w:r>
        <w:t>Bei diesem Ausgang des Verfahrens sind die Gerichtskosten dem Beschwerdeführer aufzuerlegen (Art. 63 Abs. 1 VwVG). Unter Berücksichtigung aller Umstände ist die Gerichtsgebühr auf Fr. 1'500.-- festzusetzen (Art. 63 Abs. 5 VwVG i.V.m. Art. 73 StBOG sowie Art. 5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