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RR.2015.300 vom 7. Juni 2016</w:t>
      </w:r>
    </w:p>
    <w:p>
      <w:r>
        <w:t>Bundesstrafgericht, 2016-06-07, FR</w:t>
      </w:r>
    </w:p>
    <w:p>
      <w:r>
        <w:rPr>
          <w:b/>
        </w:rPr>
        <w:t xml:space="preserve">Quelle: </w:t>
      </w:r>
      <w:r>
        <w:t>https://mcp.opencaselaw.ch/entscheid/bstger_RR.2015.300</w:t>
      </w:r>
    </w:p>
    <w:p>
      <w:r>
        <w:t>FR: TPF RR.2015.300 du 7 juin 2016</w:t>
      </w:r>
    </w:p>
    <w:p>
      <w:r>
        <w:t>IT: TPF RR.2015.300 del 7 giugno 2016</w:t>
      </w:r>
    </w:p>
    <w:p>
      <w:pPr>
        <w:pStyle w:val="Heading2"/>
      </w:pPr>
      <w:r>
        <w:t>Regeste</w:t>
      </w:r>
    </w:p>
    <w:p>
      <w:r>
        <w:t>Entraide judiciaire internationale en matière pénale à la Belgique. Remise de moyens de preuve (art. 74 EIMP); saisie conservatoire (art. 33a OEIMP).</w:t>
      </w:r>
    </w:p>
    <w:p>
      <w:pPr>
        <w:pStyle w:val="Heading2"/>
      </w:pPr>
      <w:r>
        <w:t>Erwägungen</w:t>
      </w:r>
    </w:p>
    <w:p>
      <w:r>
        <w:rPr>
          <w:b/>
        </w:rPr>
        <w:t>E. 1</w:t>
      </w:r>
    </w:p>
    <w:p>
      <w:r>
        <w:t>L'entraide judiciaire entre le Royaume de Belgique et la Confédération suisse est prioritairement régie par la Convention européenne d'entraide judiciaire en matière pénale (CEEJ; RS 0.351.1), entrée en vigueur pour la Suisse le 20 mars 1967 et pour la Belgique le 11 novembre 1975, ainsi que par le Deuxième Protocole additionnel du 8 novembre 2001 à la CEEJ, entré en vigueur pour la Suisse le 1er février 2005 et pour l'Etat requérant le 1er juillet 2009. Les art. 48 ss de la Convention d'application de l'Accord de Schengen du 14 juin 1985 (CAAS; n° CELEX 42000A0922(02); Journal officiel de l'Union européenne L 239 du 22 septembre 2000, p. 19-62; publication de la Chancellerie fédérale, "Entraide et extradition") s'appliquent également à</w:t>
      </w:r>
    </w:p>
    <w:p>
      <w:r>
        <w:t>- 4 -</w:t>
      </w:r>
    </w:p>
    <w:p>
      <w:r>
        <w:t>l'entraide pénale entre la Suisse et la Belgique (v. arrêt du Tribunal pénal fédéral RR.2009.284 du 19 novembre 2009, consid. 1.3). Dans la mesure où la demande tendrait à la remise de valeurs séquestrées à l'Etat requérant, la Convention n° 141 du Conseil de l'Europe, relative au blanchiment, au dépistage, à la saisie et à la confiscation des produits du crime peut également être applicable (ci-après: Convention n° 141; RS 0.311.53, entrée en vigueur le 1er septembre 1993 pour la Suisse et le 1er mai 1998 pour la Belgique).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129 II 462 consid. 1.1; 124 II 180 consid. 1.3; arrêt du Tribunal pénal fédéral RR.2010.9 du 15 avril 2010, consid. 1.3; DANGUBIC / KESHELAVA, in Basler Kommentar, Internationales Strafrecht, 2015, n° 1 ad art. 12). L'application de la norme la plus favorable doit avoir lieu dans le respect des droits fondamentaux (ATF 135 IV 212 consid. 2.3; 123 II 595 consid. 7c).</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t>Le délai de recours contre la décision de clôture est de 30 jours dès la communication écrite de celle-ci (art. 80k EIMP). Parvenu à la Cour des plaintes le 26 novembre 2015, le recours contre la décision de clôture intervenu le 27 octobre 2015, et contre la décision incidente de refus de levée partielle du séquestre du 26 octobre 2015, a été formé en temps utile.</w:t>
      </w:r>
    </w:p>
    <w:p>
      <w:r>
        <w:t>1.4.1 Aux termes de l'art. 80h let. b EIMP, a qualité pour recourir en matière d'entraide quiconque est personnellement et directement touché par une mesure d'entraide et a un intérêt digne de protection à ce qu'elle soit annulée ou modifiée. L’art. 9a OEIMP précise cette disposition et reconnaît notamment la qualité pour agir au titulaire du compte dont il est demandé des informations (let. a) ainsi qu’au propriétaire ou au locataire en cas de perquisition (let. b; ATF 126 II 258 consid. 2d/aa; arrêt du Tribunal fédéral 1A.218/2000 du 6 novembre 2000, consid. 1c).</w:t>
      </w:r>
    </w:p>
    <w:p>
      <w:r>
        <w:t>- 5 -</w:t>
      </w:r>
    </w:p>
    <w:p>
      <w:r>
        <w:t>1.4.2 En l’espèce, une partie des informations à transmettre résulte des perquisitions opérées au domicile du recourant (appartement de Z.), dans le box attenant, ainsi qu'auprès d'un établissement bancaire (safe). A. est sinon le propriétaire, à tout le moins le locataire des locaux en question et dispose partant de la qualité pour recourir à cet égard. S’agissant de la transmission d’informations bancaires, le recourant a qualité pour agir à l’encontre de la transmission des informations des comptes dont il est le titulaire auprès de la banque C. (comptes n° 1; 2; 3; 4; 5; act. 10.1, p.1) et de la banque G. (comptes n° 6; 7; act. 10.1, p. 2). Il n'est en revanche pas habilité à recourir contre la transmission des informations relatives aux comptes libellés aux noms des sociétés D. SA, E. Ltd et F. Ltd.</w:t>
      </w:r>
    </w:p>
    <w:p>
      <w:r>
        <w:t>1.4.3 Il y a donc lieu d’entrer en matière sur le recours dans la mesure précisée ci- avant.</w:t>
      </w:r>
    </w:p>
    <w:p>
      <w:r>
        <w:rPr>
          <w:b/>
        </w:rPr>
        <w:t>E. 2</w:t>
      </w:r>
    </w:p>
    <w:p>
      <w:r>
        <w:t>EIMP applicable en matière d'extradition, les éléments constitutifs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w:t>
      </w:r>
    </w:p>
    <w:p>
      <w:r>
        <w:t>2.1.3 Lorsque l'autorité étrangère adresse une requête d'entraide aux fins d'appuyer une enquête menée du chef de blanchiment d'argent, elle ne doit pas nécessairement apporter la preuve de la commission des actes de blanchiment ou de l'infraction préalable; un simple soupçon considéré objectivement suffit pour l'octroi de la coopération sous l'angle de la double incrimination (v. arrêt du Tribunal fédéral 1A.231/2003 du 6 février 2004, consid. 5.3; TPF 2011 194 consid. 2.1 in fine; v. également ZIMMERMANN, La coopération judiciaire internationale en matière pénale, 4e éd. 2014, n° 602).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motif de soupçon de blanchiment. Cette interprétation correspond à la notion d'entraide "la plus large possible" dont il est question aux art. 1 CEEJ, 7 ch. 1 et 8 CBl (ATF 129 II 97 consid. 3.2).</w:t>
      </w:r>
    </w:p>
    <w:p>
      <w:r>
        <w:t>En l’espèce, il ressort de la demande d'entraide belge que l'autorité requérante soupçonne le recourant d'appartenir à une organisation criminelle active notamment dans le trafic international de stupéfiants. A cet égard, les investigations menées en Belgique dans ce contexte ont permis</w:t>
      </w:r>
    </w:p>
    <w:p>
      <w:r>
        <w:t>- 7 -</w:t>
      </w:r>
    </w:p>
    <w:p>
      <w:r>
        <w:t>de mettre à jour le fait que le recourant a été en contact régulier avec des personnes impliquées dans un trafic d’armes et de stupéfiants et se serait fait remettre des sommes conséquentes dérivant de ces activités illégales (dossier MP-VS, p. 5), sommes qui auraient, à tout le moins pour partie, été placées sur des comptes ouverts en Suisse par le recourant en nom propre, respectivement au nom de sociétés dont il est l'ayant droit économique. Le patrimoine d’origine criminelle du recourant s’élèverait à plus de USD 10 mios (dossier MP-VS, p. 6).</w:t>
      </w:r>
    </w:p>
    <w:p>
      <w:r>
        <w:t>Force est à ce stade de constater que le comportement reproché au recourant est décrit avec suffisamment de précision pour permettre au juge de l'entraide d'examiner, dans le respect des sources applicables au cas d'espèce, si les conditions à l'octroi de l'entraide sont réalisées.</w:t>
      </w:r>
    </w:p>
    <w:p>
      <w:r>
        <w:t>Il s’ensuit que la condition de la double incrimination est remplie en l’espèce et que le contenu de la demande belge satisfait aux exigences de l’art. 14 CEEJ. Les griefs soulevés par le recourant à cet égard – lesquels relèvent au demeurant essentiellement de l'argumentation à décharge, procédé irrecevable dans le cadre de la procédure d'entraide (v. arrêt du Tribunal fédéral 1C_562/2011 du 22 décembre 2011, consid. 1.5 in fine) – sont par conséquent infondés. Il n’est au surplus pas nécessaire de vérifier si l’exposé des faits de la demande réalise également les éléments constitutifs d’autres infractions pénales selon le droit suisse. En effet, à l’inverse de ce qui prévaut en matière d’extradition, la réunion des éléments constitutifs d’une seule infraction suffit pour l’octroi de l’entraide régie par la CEEJ (ATF 125 II 569 consid. 6; arrêt du Tribunal fédéral 1C_138/2007 du 17 juillet 2007, consid. 2.3.2), dans le cas concret l'art. 305bis CP.</w:t>
      </w:r>
    </w:p>
    <w:p>
      <w:r>
        <w:rPr>
          <w:b/>
        </w:rPr>
        <w:t>E. 3</w:t>
      </w:r>
    </w:p>
    <w:p>
      <w:r>
        <w:t>Dans un second grief, le recourant invoque une violation du principe de la proportionnalité car, s’agissant des comptes bancaires, seuls les relevés datant d’après la période d’incrimination pourraient, selon lui, être transmis (act. 12, p. 4).</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étrangères.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(ATF 136 IV 82</w:t>
      </w:r>
    </w:p>
    <w:p>
      <w:r>
        <w:t>- 8 -</w:t>
      </w:r>
    </w:p>
    <w:p>
      <w:r>
        <w:t>consid. 4; arrêt du Tribunal fédéral 1C_582/2015 du 10 novembre 2015, consid. 1.4). C'est en effet le propre de l'entraide de favoriser la découverte de faits, d'informations et de moyens de preuve, y compris ceux dont l'autorité de poursuite étrangère n'a pas connaissance (arrêt du Tribunal pénal fédéral RR.2009.320 du 2 février 2010, consid. 4.1; ZIMMERMANN, op. cit, n° 723).</w:t>
      </w:r>
    </w:p>
    <w:p>
      <w:r>
        <w:t>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(arrêt du Tribunal pénal fédéral RR.2014.4 du 30 juillet 2014, consid. 2.2.1). Par ailleurs, dans le cadre de la procédure d’entraide, la personne touchée par la saisie est tenue, à peine de forclusion, d’indiquer à l’autorité quels documents ne devraient pas, selon elle, être transmis et pour quels motifs. Le tri des pièces n’est ainsi pas l’affaire exclusive de l’autorité; à cet égard, un véritable devoir de collaboration incombe au détenteur (arrêt du Tribunal fédéral 1A.216/2001 du 21 mars 2002, consid. 3.1; ATF 130 II 14 consid. 4.3).</w:t>
      </w:r>
    </w:p>
    <w:p>
      <w:r>
        <w:t>3.3.1 En l’espèce, l’autorité requérante soupçonne le recourant, entre autres, de blanchir de l’argent venant d’un trafic international de stupéfiants. En effet, les communications interceptées par les investigations de police ont permis de comprendre qu’il était en lien avec des personnes soupçonnées d’être elles-mêmes impliquées dans ce trafic, de même que plusieurs de ses sociétés. Il ressortirait aussi de l’enquête que le patrimoine découlant de ces infractions s’élèverait à plus de USD 10 mios (v. supra consid. 2.2). Force est de constater que la demande d’entraide est en lien direct avec la procédure pénale étrangère, puisque l’autorité requérante cherche à comprendre le cheminement de l’argent provenant desdits trafics, avec la possibilité que les comptes suisses aient été utilisés à cette fin.</w:t>
      </w:r>
    </w:p>
    <w:p>
      <w:r>
        <w:t>3.3.2 Lorsque la demande vise à éclaircir le cheminement de fonds d'origine délictueuse, il convient d'informer l'Etat requérant de toutes les transactions opérées au nom des entités (personnes physiques ou morales) et par le biais des comptes impliqués dans l'affaire, même sur une période relativement</w:t>
      </w:r>
    </w:p>
    <w:p>
      <w:r>
        <w:t>- 9 -</w:t>
      </w:r>
    </w:p>
    <w:p>
      <w:r>
        <w:t>étendue (ATF 121 II 241 consid. 3c; arrêt du Tribunal pénal fédéral RR.2014.187-188 du 18 février 2015, consid. 4.4). L'utilité de la documentation bancaire découle du fait que l'autorité requérante peut vouloir vérifier que les agissements qu'elle connaît déjà n'ont pas été précédés ou suivis d'autres actes du même genre (arrêts du Tribunal fédéral 1A.259/2006 du 26 janvier 2007, consid. 2.2; 1A.75/2006 du 20 juin 2006, consid. 3.2; 1A.79/2005 du 27 avril 2005, consid. 4.2; 1A.59/2005 du 26 avril 2005, consid. 6.2). En l’espèce, le MP-VS a requis de la banque C. la production des relevés bancaires pour une période allant du 1er juillet 2013 jusqu’à la demande, soit février 2015, ainsi que la production des relevés de deux comptes auprès de la banque G., ceci dès leur ouverture en 2014 (act. 2.2, p. 3).</w:t>
      </w:r>
    </w:p>
    <w:p>
      <w:r>
        <w:t>De ce fait, s'agissant, comme en l'espèce, de comptes et de transactions susceptibles de s'inscrire dans le mécanisme de blanchiment à grande échelle mis en place par des personnes sous enquête pénale à l'étranger, il se justifie, pour l'autorité requérante, de prendre connaissance de la documentation bancaire sur plusieurs années, et parfois depuis son ouverture, sans que cela ne viole le principe de l'utilité potentielle.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Partant, le transfert de la documentation des comptes des banques G. et C. tel qu'ordonné par l'autorité d'exécution – sachant que l’enquête pénale a été ouverte en 2011 (act. 20.2, p.1) – ne saurait être qualifié d'excessif, et le grief, mal fondé, doit être rejeté.</w:t>
      </w:r>
    </w:p>
    <w:p>
      <w:r>
        <w:t>Quant à la problématique du tri des pièces, dont on peine à comprendre du mémoire de recours si son auteur entend s'en plaindre, la Cour constate en tout état de cause que le recourant n'a aucunement satisfait à son devoir de coopération, omettant d'indiquer avec précision à l’autorité quels documents ne devraient pas, le cas échéant, être transmis et pour quels motifs (v. supra consid. 3.2 in fine).</w:t>
      </w:r>
    </w:p>
    <w:p>
      <w:r>
        <w:rPr>
          <w:b/>
        </w:rPr>
        <w:t>E. 4</w:t>
      </w:r>
    </w:p>
    <w:p>
      <w:r>
        <w:t>S'agissant de la saisie des avoirs bancaires prononcée par le MP-VS, pareille mesure doit être maintenue jusqu’au terme de la procédure pénale, le cas échéant, jusqu’au moment où l’Etat requérant présentera une</w:t>
      </w:r>
    </w:p>
    <w:p>
      <w:r>
        <w:t>- 10 -</w:t>
      </w:r>
    </w:p>
    <w:p>
      <w:r>
        <w:t>demande de remise des avoirs saisis, en vue de restitution ou de confiscation fondée sur une décision définitive et exécutoire ou qu’il communiquera ne plus être en mesure de prononcer une telle décision (cf. art. 74a EIMP, mis en relation avec l’art. 33a OEIMP; cf. également ATF 126 II 462 consid. 5). En effet, saisi d'une demande d'entraide judiciaire se rapportant à des fonds détournés, l'autorité suisse d'exécution peut en ordonner le blocage – et ce même si la demande initiale ne le requiert pas expressément – dès lors que l'Etat requérant est susceptible d'en demander la remise conformément à l'art. 74a EIMP. Un tel blocage fait partie des mesures provisoires que l'autorité suisse peut adopter en application de l'art. 18 EIMP. L'autorité d'exécution devra donc encore prendre une décision à ce sujet lorsqu'elle connaîtra les intentions de l'Etat requis à ce propos, en l'interpellant et en lui fixant si nécessaire un délai pour se déterminer. Le recourant pourra pour sa part intervenir auprès de l'autorité d'exécution si la mesure devait, au fil du temps, apparaître disproportionnée (v. TPF 2007 124 consid. 8).</w:t>
      </w:r>
    </w:p>
    <w:p>
      <w:r>
        <w:rPr>
          <w:b/>
        </w:rPr>
        <w:t>E. 5</w:t>
      </w:r>
    </w:p>
    <w:p>
      <w:r>
        <w:t>Les considérants qui précèdent conduisent au rejet du recours, et ce dans la mesure de sa recevabilité.</w:t>
      </w:r>
    </w:p>
    <w:p>
      <w:r>
        <w:rPr>
          <w:b/>
        </w:rPr>
        <w:t>E. 6</w:t>
      </w:r>
    </w:p>
    <w:p>
      <w:r>
        <w:t>En règle générale, 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et art. 8 al. 3 du règlement du Tribunal pénal fédéral sur les frais, émoluments, dépens, et indemnités de la procédure pénale fédérale du 31 août 2010 [RFPPF; RD 173.713.162] et art. 63 al. 5 PA), entièrement couverts par l'avance de frais effectuée. Le recourant ayant versé CHF 5’100.-- à titre d’avance de frais – au lieu des CHF 5'000.-- requis par l'autorité de céans (act. 4) –, la caisse du Tribunal pénal fédéral lui restituera le solde par CHF 100.--.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