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RR.2015.294 vom 18. Januar 2016</w:t>
      </w:r>
    </w:p>
    <w:p>
      <w:r>
        <w:t>Bundesstrafgericht, 2016-01-18, FR</w:t>
      </w:r>
    </w:p>
    <w:p>
      <w:r>
        <w:rPr>
          <w:b/>
        </w:rPr>
        <w:t xml:space="preserve">Quelle: </w:t>
      </w:r>
      <w:r>
        <w:t>https://mcp.opencaselaw.ch/entscheid/bstger_RR.2015.294</w:t>
      </w:r>
    </w:p>
    <w:p>
      <w:r>
        <w:t>FR: TPF RR.2015.294 du 18 janvier 2016</w:t>
      </w:r>
    </w:p>
    <w:p>
      <w:r>
        <w:t>IT: TPF RR.2015.294 del 18 gennaio 2016</w:t>
      </w:r>
    </w:p>
    <w:p>
      <w:pPr>
        <w:pStyle w:val="Heading2"/>
      </w:pPr>
      <w:r>
        <w:t>Regeste</w:t>
      </w:r>
    </w:p>
    <w:p>
      <w:r>
        <w:t>Entraide judiciaire internationale en matière pénale à la République française. Extension du principe de spécialité (art. 67 al. 2 EIMP); effet suspensif (art. 80l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 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w:t>
      </w:r>
    </w:p>
    <w:p>
      <w:r>
        <w:t>- 4 -</w:t>
      </w:r>
    </w:p>
    <w:p>
      <w:r>
        <w:t>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art. 39 CBl). L'application de la norme la plus favorable doit avoir lieu dans le respect des droits fondamentaux (ATF 135 IV 212 consid. 2.3; 123 II 595 consid. 7c).</w:t>
      </w:r>
    </w:p>
    <w:p>
      <w:r>
        <w:rPr>
          <w:b/>
        </w:rPr>
        <w:t>E. 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3.1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 En revanche, l'ayant droit économique d'un compte bancaire n'a pas la qualité pour recourir contre la transmission de pièces concernant ledit compte (ATF 122 II 130 consid. 2b). Exceptionnellement, la qualité pour agir est reconnue, depuis une quinzaine d'années, à l'ayant droit d'une société titulaire de compte lorsque celle-ci a été dissoute et liquidée, sous réserve de l'abus de droit (ATF 123 II 153 consid. 2c et dd). Il appartient dans ce cas à l'ayant droit de former le recours en son nom propre et de prouver, outre la dissolution, sa qualité d'ayant droit économique, en produisant les documents idoines en faveur de cette thèse (arrêts du Tribunal fédéral 1A.268/2006 du 16 février 2007, consid. 2.3; 1A.57/2005 du 21 mars 2005; 1A.295/2004 du 27 janvier 2005, consid. 2.4; arrêts du Tribunal pénal fédéral RR.2007.182 du 17 juillet 2008, consid. 2; RR.2007.52 du 13 juin 2007, consid. 3). Il importe dès lors qu'il démontre, à l'appui de documents officiels, que la société a été liquidée (arrêts du</w:t>
      </w:r>
    </w:p>
    <w:p>
      <w:r>
        <w:t>- 5 -</w:t>
      </w:r>
    </w:p>
    <w:p>
      <w:r>
        <w:t>Tribunal fédéral 1A.10/2000 du 18 mai 2000, consid. 1e; 1A.131/1999 du 26 août 1999, consid. 3 et 1A.236/1998 du 25 janvier 1999, consid. 1b/bb, jurisprudence citée dans l'arrêt 1A.212/2001 du 21 mars 2002, consid. 1.3.2). Il faut en outre que l'acte de dissolution indique clairement l'ayant droit comme son bénéficiaire (arrêt du Tribunal fédéral 1A.84/1999 du 31 mai 1999, consid. 2c, jurisprudence également citée dans l'arrêt 1A.212/2001 précité; arrêt du Tribunal pénal fédéral RR.2007.52 du 13 juin 2007, consid. 3.2). L'abus de droit est réservé (ATF 123 II 153 consid. 2c et dd). La preuve peut également être apportée par le biais d'autres moyens (arrêt du Tribunal fédéral 1C_370/2012 du 3 octobre 2012, consid. 2.7; arrêts du Tribunal pénal fédéral RR.2015.14 du 11 février 2015; RR.2012.257 du 2 juillet 2013, consid. 1.2.2; RR.2012.252 du 7 juin 2013, consid. 2.2.1). D'après la jurisprudence du Tribunal fédéral en la matière, l'élément permettant de démontrer que le recourant est l'ayant droit de la société liquidée est considéré comme déterminant et il n'est nullement abusif d'en exiger la preuve du recourant; lorsque cet élément ne ressort pas du dossier, le recours est déclaré irrecevable (arrêt du Tribunal fédéral 1C_440/2011 du 17 octobre 2011, consid. 1.5; v. aussi 1C_183/2012 du 12 avril 2012, consid. 1.5);</w:t>
      </w:r>
    </w:p>
    <w:p>
      <w:r>
        <w:rPr>
          <w:b/>
        </w:rPr>
        <w:t>E. 3.2</w:t>
      </w:r>
    </w:p>
    <w:p>
      <w:r>
        <w:t>En l'espèce, il ressort des pièces au dossier que les documents qui ont été communiqués aux autorités françaises concernent la relation bancaire n° 1 dont I. Ltd était titulaire (act. 1.5; 1.7 p. 3). Dite société a cependant été radiée le 1er novembre 2012 pour non-paiement de sa licence annuelle ainsi que des charges y relatives (act. 1.11). Le recourant fait valoir qu'il est le seul bénéficiaire de la «liquidation». Pour étayer ses dires, il invoque d'abord qu'il ressort des demandes d'entraide qu'il était l'ayant droit économique unique de I. Ltd (act. 10). Au regard de la jurisprudence constante, cet élément ne saurait en soi conférer la qualité pour agir au recourant. Ce dernier produit par ailleurs une attestation établie par le mandataire de la société radiée aux termes de laquelle il a bénéficié de tous les avoirs de cette dernière lors de la radiation (act. 1.10), ainsi qu'une attestation de sa propre main allant dans le même sens (act. 10.1). Ces éléments ne permettent toutefois pas de prouver qu'il est le bénéficiaire de la «liquidation» de la société; ils ne constituent en effet que des allégations (arrêt du Tribunal pénal fédéral RR.2015.200 du 2 octobre 2015). Dans les cas où la jurisprudence a admis d'autres preuves que l'acte de dissolution pour établir qui a été le bénéficiaire effectif de la liquidation d'une société, il y avait à tout le moins des formulaires bancaires (arrêt du Tribunal fédéral 1C_370/2012 du 3 octobre 2012) ou des avis de virements dont il ressortait que le solde des actifs de la société dissoute avait été transféré sur le compte du bénéficiaire (arrêt du Tribunal pénal fédéral RR.2012.223 du 14 juin 2013, consid. 2.3). Rien de tel ne figure au dossier en l'espèce. Enfin, le recourant fait valoir qu'il ressort des</w:t>
      </w:r>
    </w:p>
    <w:p>
      <w:r>
        <w:t>- 6 -</w:t>
      </w:r>
    </w:p>
    <w:p>
      <w:r>
        <w:t>demandes d'entraide qu'il était l'ayant droit économique de la société. Cependant, la qualité d'ayant droit économique de la société ne signifie encore pas que le recourant ait été le bénéficiaire effectif de la «liquidation» de cette dernière.</w:t>
      </w:r>
    </w:p>
    <w:p>
      <w:r>
        <w:rPr>
          <w:b/>
        </w:rPr>
        <w:t>E. 3.3</w:t>
      </w:r>
    </w:p>
    <w:p>
      <w:r>
        <w:t>Le recourant n'ayant pas apporté de preuves suffisantes quant au versement en sa faveur des avoirs de la société radiée, il n'y a pas lieu de lui reconnaître la qualité de partie. Le recours est partant irrecevable. La demande d'effet suspensif devient de ce fait sans objet.</w:t>
      </w:r>
    </w:p>
    <w:p>
      <w:r>
        <w:rPr>
          <w:b/>
        </w:rPr>
        <w:t>E. 4</w:t>
      </w:r>
    </w:p>
    <w:p>
      <w:r>
        <w:t>En tant que partie qui succombe, le recourant doit supporter les frais du présent arrêt (art. 63 al. 1 de la loi fédérale sur la procédure administrative [PA; RS 172.021]), lesquels sont fixés à CHF 2000.-- (art. 73 al. 2 LOAP et art. 8 al. 3 du règlement du Tribunal pénal fédéral du 31 août 2010 sur les frais, émoluments, dépens et indemnités de la procédure pénale fédérale [RFPPF; RS 173.713.162]; art. 63 al. 5 PA), réputés couverts par l'avance de frais acquittée. Le solde, par CHF 3'000.--, sera restitué au recourant par la caisse du Tribunal pénal fédéral.</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