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RR.2015.293 vom 16. März 2016</w:t>
      </w:r>
    </w:p>
    <w:p>
      <w:r>
        <w:t>Bundesstrafgericht, 2016-03-16, DE</w:t>
      </w:r>
    </w:p>
    <w:p>
      <w:r>
        <w:rPr>
          <w:b/>
        </w:rPr>
        <w:t xml:space="preserve">Quelle: </w:t>
      </w:r>
      <w:r>
        <w:t>https://mcp.opencaselaw.ch/entscheid/bstger_RR.2015.293</w:t>
      </w:r>
    </w:p>
    <w:p>
      <w:r>
        <w:t>FR: TPF RR.2015.293 du 16 mars 2016</w:t>
      </w:r>
    </w:p>
    <w:p>
      <w:r>
        <w:t>IT: TPF RR.2015.293 del 16 marzo 2016</w:t>
      </w:r>
    </w:p>
    <w:p>
      <w:pPr>
        <w:pStyle w:val="Heading2"/>
      </w:pPr>
      <w:r>
        <w:t>Regeste</w:t>
      </w:r>
    </w:p>
    <w:p>
      <w:r>
        <w:t>Auslieferung an die Türkei. Auslieferungsentscheid (Art. 55 IRSG).</w:t>
      </w:r>
    </w:p>
    <w:p>
      <w:pPr>
        <w:pStyle w:val="Heading2"/>
      </w:pPr>
      <w:r>
        <w:t>Erwägungen</w:t>
      </w:r>
    </w:p>
    <w:p>
      <w:r>
        <w:rPr>
          <w:b/>
        </w:rPr>
        <w:t>E. 1.1</w:t>
      </w:r>
    </w:p>
    <w:p>
      <w:r>
        <w:t>Für den Auslieferungsverkehr zwischen der Schweiz und der Türkei sind pri- mär das Europäische Auslieferungsübereinkommen vom 13. Dezem- ber 1957 (EAUe; SR 0.353.1) und das hierzu ergangene zweite Zusatzpro- tokoll vom 17. März 1978 (ZPII EAUe; SR 0.353.12), welchem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S. 126; 137 IV 33 E. 2.2.2 S. 40 f.; 136 IV 82 E. 3.1; 122 II 140 E. 2 S. 142).</w:t>
      </w:r>
    </w:p>
    <w:p>
      <w:r>
        <w:t>- 5 -</w:t>
      </w:r>
    </w:p>
    <w:p>
      <w:r>
        <w:t>Vorbehalten bleibt die Wahrung der Menschenrechte (BGE 135 IV 212 E. 2.3; 123 II 595 E. 7c S. 617; TPF 2008 24 E. 1.1 S. 26).</w:t>
      </w:r>
    </w:p>
    <w:p>
      <w:r>
        <w:rPr>
          <w:b/>
        </w:rPr>
        <w:t>E. 2</w:t>
      </w:r>
    </w:p>
    <w:p>
      <w:r>
        <w:t>Gegen Auslieferungsentscheide des BJ kann innerhalb von 30 Tagen nach Eröffnung des Entscheids bei der Beschwerdekammer des Bundesstrafge- richts Beschwerde geführt werden (Art. 55 Abs. 3 i.V.m. Art. 25 Abs. 1 IRSG; Art. 12 Abs. 1 IRSG i.V.m. Art. 50 Abs. 1 VwVG). Der Auslieferungsentscheid wurde dem Beschwerdeführer am 15. Oktober 2015 eröffnet (act. 7.50). Seine am 13. November 2015 hiergegen erhobene Beschwerde erweist sich als fristgerecht, weshalb grundsätzlich auf sie einzutreten ist. Auf die erneut erhobenen Rügen der Verfolgungsverjährung, der Mängel des türkischen Strafverfahrens, der Verletzung des Spezialitätsgrundsatzes und des politi- schen Delikts, die durch das Bundesgericht bereits rechtskräftig beurteilt und abgewiesen worden sind, ist hingegen nicht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nach der bundesgerichtlichen Rechtsprechung mit allen Parteistandpunkten einläss- lich auseinandersetzen und jedes einzelne Vorbringen ausdrücklich widerle- gen. Sie kann sich auf die für ihren Entscheid wesentlichen Punkte beschrän- ken, und es genügt, wenn die Behörde wenigstens kurz die Überlegungen nennt, von denen sie sich leiten liess und auf welche sich ihr Entscheid stützt (Urteil des Bundesgerichts 1A.59/2004 vom 16. Juli 2004, E. 5.2, mit weite- ren Hinweisen).</w:t>
      </w:r>
    </w:p>
    <w:p>
      <w:r>
        <w:rPr>
          <w:b/>
        </w:rPr>
        <w:t>E. 4.1</w:t>
      </w:r>
    </w:p>
    <w:p>
      <w:r>
        <w:t>Das Bundesgericht kommt in seinem Urteil 1C_274/2015 vom 12. Au- gust 2015 (E. 6.3.6) mit Blick auf Art. 3 Ziff. 2 zweiter Teilsatz EAUe zum Schluss, dass keine genügend gesicherte Erkenntnisgrundlage vorliege, die ein allfälliges Abweichen von den Entscheiden der Asylbehörden, wonach dem Beschwerdeführer im Fall einer Rückkehr in den Heimatstaat mit be- achtlicher Wahrscheinlichkeit eine durch Art. 3 EMRK verbotene Strafe oder Behandlung drohe, rechtfertigen könne. Zum einen hätte abgeklärt werden müssen, weshalb die Fichierung des Beschwerdeführers als "unbequeme Person" erfolgt und wann und weshalb sie aufgehoben worden sei. Auch der</w:t>
      </w:r>
    </w:p>
    <w:p>
      <w:r>
        <w:t>- 6 -</w:t>
      </w:r>
    </w:p>
    <w:p>
      <w:r>
        <w:t>Zeitpunkt des Auslieferungsersuchens wecke gewisse Zweifel an dessen Motivation. Offenbar sei die türkische Polizei bereits im Jahr 1995 davon ausgegangen, dass sich der Beschwerdeführer in der Schweiz befinde, hin- gegen habe sie seine genaue Adresse nicht gekannt. Es bleibe unklar, wes- halb die Unkenntnis der genauen Adresse die türkischen Behörden davon abgehalten habe, ein Auslieferungsersuchen zu stellen. Zu diesen Fragen hätte das BJ weitere Abklärungen treffen müssen, wobei sachdienliche Hin- weise wohl insbesondere auch ein Amtsbericht des SEM hätte geben kön- nen. Im Übrigen verwarf das Bundesgericht die weiteren Einwendungen des Beschwerdeführers gegen eine Auslieferung (E. 6.3.7).</w:t>
      </w:r>
    </w:p>
    <w:p>
      <w:r>
        <w:rPr>
          <w:b/>
        </w:rPr>
        <w:t>E. 4.2</w:t>
      </w:r>
    </w:p>
    <w:p>
      <w:r>
        <w:t>Mit Schreiben vom 28. August 2015 (act. 7.38) über die türkische Botschaft in Bern ersuchte das BJ die türkischen Behörden um Mitteilung, weshalb die Schweiz erst im Jahre 2011 um Auslieferung des Verfolgten ersucht wurde, obwohl seit dem Jahre 1995 bekannt gewesen sei, dass sich dieser in der Schweiz aufhalte. Weiter wurde um Mitteilung darüber gebeten, welche ge- nauen Interventionen die türkischen Behörden vor der Stellung des Auslie- ferungsersuchens unternommen hätten und ob gegen den Verfolgten nach seiner Flucht allenfalls eine internationale Fahndung eingeleitet worden sei. Abschliessend wurde um Angaben darüber gebeten, ob gegen den Verfolg- ten noch weitere Strafverfahren hängig seien, bzw. ob Strafurteile vorlägen, welche nicht Gegenstand des vorliegenden Auslieferungsersuchens seien sowie ob auch andere Verfahren oder Eintragungen in Datenbanken exis- tierten, welche die Situation des Verfolgten im Falle einer Auslieferung in ir- gendeiner Weise beeinträchtigen könnten.</w:t>
      </w:r>
    </w:p>
    <w:p>
      <w:r>
        <w:rPr>
          <w:b/>
        </w:rPr>
        <w:t>E. 4.3</w:t>
      </w:r>
    </w:p>
    <w:p>
      <w:r>
        <w:t>Das türkische Justizministerium teilte mit Schreiben vom 8. September 2015 (act. 7.41) folgendes mit: Bis zum Jahr 2011 sei kein Auslieferungsersuchen gestellt worden, weil die genaue Adresse des Beschwerdeführers in der Schweiz nicht bekannt gewesen sei. Hingegen sei er zuvor schon landesweit gesucht worden. Eine internationale Fahndung habe hingegen nicht bestan- den. Eine andere Fahndungseintragung gegen den Beschwerdeführer, aus- ser diejenige, die dem Auslieferungsersuchen zugrunde liegt, bestünde nicht.</w:t>
      </w:r>
    </w:p>
    <w:p>
      <w:r>
        <w:rPr>
          <w:b/>
        </w:rPr>
        <w:t>E. 4.4</w:t>
      </w:r>
    </w:p>
    <w:p>
      <w:r>
        <w:t>Bei der schweizerischen Botschaft in Ankara sowie bzw. beim SEM erkun- digte sich das BJ mit Schreiben vom 31. August 2015 (act. 7.39) nach den rechtlichen Grundlagen für das Allgemeine Informationssystem (GBTS), der Art von Eintragungen die in diesem System erfasst werden, welches die Vo- raussetzungen für eine Löschung sind und welche Behörden Einsicht in diese Datenbank haben. Ganz konkret wurde angefragt, ob in Erfahrung ge- bracht werden kann, wann und weshalb die Fichierung des Verfolgten als</w:t>
      </w:r>
    </w:p>
    <w:p>
      <w:r>
        <w:t>- 7 -</w:t>
      </w:r>
    </w:p>
    <w:p>
      <w:r>
        <w:t>"unbequeme Person" erfolgte und wann und weshalb sie aufgehoben wurde. Abschliessend wurde die Frage gestellt, ob konkrete Gründe erkennbar sind, dass der Verfolgte im Falle einer Rückkehr in die Türkei Benachteiligungen im Sinne von Art. 3 EMRK zu erwarten hätte und gegebenenfalls welche.</w:t>
      </w:r>
    </w:p>
    <w:p>
      <w:r>
        <w:rPr>
          <w:b/>
        </w:rPr>
        <w:t>E. 4.5</w:t>
      </w:r>
    </w:p>
    <w:p>
      <w:r>
        <w:t>Das SEM kommt in seinem Schreiben vom 2. September 2015 (act. 7.40) zum Schluss, dass eine allfällige Auslieferung des Beschwerdeführers an die Türkei klarerweise mit Art. 3 EMRK zu vereinbaren sei, trotz der insbeson- dere seit Juli 2015 zu beobachtenden politischen und gesellschaftlichen Ver- härtungen in der Türkei, die jedoch offenkundig keinen Bezug zur Person des Beschwerdeführers aufwiesen.</w:t>
      </w:r>
    </w:p>
    <w:p>
      <w:r>
        <w:rPr>
          <w:b/>
        </w:rPr>
        <w:t>E. 4.6</w:t>
      </w:r>
    </w:p>
    <w:p>
      <w:r>
        <w:t>Die schweizerische Botschaft in der Türkei teilte mit Schreiben vom 17. Sep- tember 2015 (act. 7.43) im Wesentlichen mit, dass der Beschwerdeführer im GBTS lediglich wegen des rechtskräftigen Urteils des 2. Gerichts für schwere Straftaten in Gaziantep wegen "Mord aufgrund Blutrache" verzeichnet sei. Es bestehe kein Indiz, in welchem eine Löschung eines Eintrags vermerkt wird und es hätten keine Daten zu einem Eintrag als "unbequeme Person" in der Datenbank festgestellt werden können.</w:t>
      </w:r>
    </w:p>
    <w:p>
      <w:r>
        <w:rPr>
          <w:b/>
        </w:rPr>
        <w:t>E. 4.7</w:t>
      </w:r>
    </w:p>
    <w:p>
      <w:r>
        <w:t>Der Beschwerdeführer geht auf die vom Beschwerdegegner getätigten Ab- klärungen nur indirekt ein. Er wirft dem Beschwerdegegner vor, sich zu wei- gern, beim SEM einen Amtsbericht über die Entscheidungsgrundlagen ein- zuholen, aufgrund welcher konkreten Einschätzungen bzw. Merkmalen oder Profileigenschaften des Beschwerdeführers es von seiner materiellen Flüchtlingseigenschaft ausgeht und weshalb es die Gefahr für Folter oder unmenschliche Behandlung für den Fall einer unter dem Asylregime erfolg- ten Wegweisung in die Türkei trotz damaliger Kenntnis der diplomatischen Garantien der Türkei als gross angesehen hat (act. 1, Ziff. 2.2.7).</w:t>
      </w:r>
    </w:p>
    <w:p>
      <w:r>
        <w:t>Dem ist entgegen zu halten, dass das SEM in seinem obgenannten Schrei- ben (act. 7.40, S.3) als entscheidendes Element die im Auslieferungsverfah- ren abgegebenen diplomatischen Garantien ansieht. Deren Einhaltung sei für die Schweiz und durch das BJ jederzeit überprüfbar. Demgegenüber ver- fügten die Asylbehörden über keine derartigen Kontrollinstrumente. Daraus ergebe sich demnach auch, dass die Beurteilung eines Sachverhaltes und namentlich eines Gefährdungsprofils durch die Auslieferungsbehörden von einer rein asylrechtlichen Einschätzung eines Sachverhaltes bzw. Gefähr- dungsprofils in einem Einzelfall im Resultat durchaus abweichen könne, ohne dass deshalb von einer "unzutreffenden Einschätzung" durch die an- dere beurteilende Behörde gesprochen werden müsste.</w:t>
      </w:r>
    </w:p>
    <w:p>
      <w:r>
        <w:t>- 8 -</w:t>
      </w:r>
    </w:p>
    <w:p>
      <w:r>
        <w:rPr>
          <w:b/>
        </w:rPr>
        <w:t>E. 4.8</w:t>
      </w:r>
    </w:p>
    <w:p>
      <w:r>
        <w:t>Weiter wendet der Beschwerdeführer ein, dass der Türkei mindestens seit 1995 bekannt gewesen sei, dass er sich in der Schweiz aufhalte. Die Türkei habe aber gewusst, dass einer Auslieferung von der Schweiz nicht stattge- geben würde, solange ein Datenblatt als unbequeme Person existiere. Des- halb habe die Türkei den Beschwerdeführer bei Interpol ausgeschrieben, woraufhin es 1997 in Bulgarien gegen ihn ein Auslieferungsverfahren gege- ben habe (act. 1, Ziff. 2.3.1 und 2.3.3).</w:t>
      </w:r>
    </w:p>
    <w:p>
      <w:r>
        <w:t>Ganz abgesehen davon, dass das behauptete Auslieferungsverfahren in Bulgarien aktenmässig nicht erstellt ist, könnte daraus auch nicht abgeleitet werden, wie dies der Beschwerdeführer wohl insinuiert, dass die Türkei das besagte Datenblatt nur deshalb gelöscht hat, um eine Auslieferung aus der Schweiz zu ermöglichen.</w:t>
      </w:r>
    </w:p>
    <w:p>
      <w:r>
        <w:rPr>
          <w:b/>
        </w:rPr>
        <w:t>E. 4.9</w:t>
      </w:r>
    </w:p>
    <w:p>
      <w:r>
        <w:t>Was die Eingabe des Beschwerdeführers vom 14. Dezember 2015 (act. 18) anbetrifft, wonach eine Belastungszeugin im Mordprozess gegen die Brüder A. ihre Aussagen widerrufen habe, ist dem entgegen zu halten, dass die Tür- kei ihr Auslieferungsersuchen nicht zurückgezogen hat.</w:t>
      </w:r>
    </w:p>
    <w:p>
      <w:r>
        <w:rPr>
          <w:b/>
        </w:rPr>
        <w:t>E. 4.10</w:t>
      </w:r>
    </w:p>
    <w:p>
      <w:r>
        <w:t>Hinsichtlich des beantragten ärztlichen Gutachtens betreffend den Bruder des Beschwerdeführers hinsichtlich Folterspuren ist darauf hinzuweisen, dass dies nicht mehr Gegenstand des vorliegenden Verfahrens bildet (vgl. Entscheid des Bundesstrafgerichts RR.2014.208+227 vom 7. Mai 2015, E. 5.7).</w:t>
      </w:r>
    </w:p>
    <w:p>
      <w:r>
        <w:rPr>
          <w:b/>
        </w:rPr>
        <w:t>E. 5</w:t>
      </w:r>
    </w:p>
    <w:p>
      <w:r>
        <w:t>Zusammenfassend kann festgehalten werden, dass die vom Beschwerde- gegner getätigten Abklärungen zusammen mit den bereits von den türki- schen Behörden abgegebenen Zusicherungen ausreichend sind, um davon auszugehen, dass dem Beschwerdeführer bei seiner Auslieferung an die Türkei keine Benachteiligungen im Sinne von Art. 3 EMRK drohen. Die da- hingehenden Rügen gehen fehl. Mit Bezug auf die weiteren Einwendungen des Beschwerdeführers gegen die Auslieferung ist auf die Ausführungen im Entscheid des Bundesstrafgerichts RR.2014.208 und 227 vom 7. Mai 2015 sowie das Urteil des Bundesgerichts 1C_274/2015 vom 12. August 2015 zu verweisen. Die Beschwerde ist daher abzuweisen, soweit darauf einzutreten ist.</w:t>
      </w:r>
    </w:p>
    <w:p>
      <w:r>
        <w:rPr>
          <w:b/>
        </w:rPr>
        <w:t>E. 6</w:t>
      </w:r>
    </w:p>
    <w:p>
      <w:r>
        <w:t>Bei diesem Ausgang des Verfahrens sind die Gerichtskosten dem Be- schwerdeführer aufzuerlegen (Art. 63 Abs. 1 VwVG). Die Gerichtsgebühr ist</w:t>
      </w:r>
    </w:p>
    <w:p>
      <w:r>
        <w:t>- 9 -</w:t>
      </w:r>
    </w:p>
    <w:p>
      <w:r>
        <w:t>auf Fr. 3'000.-- festzusetzen, unter Anrechnung des geleisteten Kostenvor- schusses in gleicher Höhe (Art. 63 Abs. 5 VwVG i.V.m. Art. 73 StBOG sowie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