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RR.2015.289 vom 13. April 2016</w:t>
      </w:r>
    </w:p>
    <w:p>
      <w:r>
        <w:t>Bundesstrafgericht, 2016-04-13, DE</w:t>
      </w:r>
    </w:p>
    <w:p>
      <w:r>
        <w:rPr>
          <w:b/>
        </w:rPr>
        <w:t xml:space="preserve">Quelle: </w:t>
      </w:r>
      <w:r>
        <w:t>https://mcp.opencaselaw.ch/entscheid/bstger_RR.2015.289</w:t>
      </w:r>
    </w:p>
    <w:p>
      <w:r>
        <w:t>FR: TPF RR.2015.289 du 13 avril 2016</w:t>
      </w:r>
    </w:p>
    <w:p>
      <w:r>
        <w:t>IT: TPF RR.2015.289 del 13 aprile 2016</w:t>
      </w:r>
    </w:p>
    <w:p>
      <w:pPr>
        <w:pStyle w:val="Heading2"/>
      </w:pPr>
      <w:r>
        <w:t>Regeste</w:t>
      </w:r>
    </w:p>
    <w:p>
      <w:r>
        <w:t>Internationale Rechtshilfe in Strafsachen an Frankreich. Aufrechterhaltung der Beschlagnahme (Art. 33a IRSV).</w:t>
      </w:r>
    </w:p>
    <w:p>
      <w:pPr>
        <w:pStyle w:val="Heading2"/>
      </w:pPr>
      <w:r>
        <w:t>Erwägungen</w:t>
      </w:r>
    </w:p>
    <w:p>
      <w:r>
        <w:rPr>
          <w:b/>
        </w:rPr>
        <w:t>E. 1.1</w:t>
      </w:r>
    </w:p>
    <w:p>
      <w:r>
        <w:t>Für die akzessorische Rechtshilfe zwischen der Schweiz und Frankreich sind in erster Linie das Europäische Übereinkommen über die Rechtshilfe in Strafsachen vom 20. April 1959 (EUeR; SR.0351.1), der zwischen dem Schweizerischen Bundesrat und der Regierung der Französischen Republik abgeschlossene Vertrag vom 28. Oktober 1996 zur Ergänzung des EueR (SR.0.351.934.92) sowie die Bestimmungen der Art. 48 ff. des Übereinkom- mens vom 19. Juni 1990 zur Durchführung des Übereinkommens von Schengen vom 14. Juni 1985 (Schengener Durchführungsübereinkommen, SDÜ; ABl. L 239 vom 22. September 2000, S. 19 – 62) massgebend.</w:t>
      </w:r>
    </w:p>
    <w:p>
      <w:r>
        <w:rPr>
          <w:b/>
        </w:rPr>
        <w:t>E. 1.2</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internati- onale Rechtshilfe in Strafsachen (IRSV; SR 351.11), zur Anwendung (vgl. Art. 1 Abs. 1 IRSG). Das innerstaatliche Recht gilt nach dem Günstigkeits- prinzip auch dann, wenn dieses geringere Anforderungen an die Rechtshilfe stellt (BGE 140 IV 123 E. 2 S. 126; 137 IV 33 E. 2.2.2 S. 40 f.; 136 IV 82 E. 3.1 m.w.H.). Vorbehalten bleibt die Wahrung der Menschenrechte (vgl. BGE 135 IV 212 E. 2.3; 123 II 595 E. 7c S. 616 ff.).</w:t>
      </w:r>
    </w:p>
    <w:p>
      <w:r>
        <w:rPr>
          <w:b/>
        </w:rPr>
        <w:t>E. 2.1</w:t>
      </w:r>
    </w:p>
    <w:p>
      <w:r>
        <w:t>Beim angefochtenen Entscheid handelt es sich um eine Schlussverfügung der ausführenden kantonalen Behörde, welche zusammen mit den voran- gehenden Zwischenverfügungen der Beschwerde an die Beschwerdekam- mer des Bundesstrafgerichts unterliegt (Art. 80e Abs. 1 IRSG; Art. 37 Abs. 2 lit. a des Bundesgesetzes vom 19. März 2010 über die Organisation der Strafbehörden des Bundes [Strafbehördenorganisationsgesetz, StBOG; SR 173.71]).</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w:t>
      </w:r>
    </w:p>
    <w:p>
      <w:r>
        <w:t>Ein schutzwürdiges Interesse liegt nicht schon dann vor, wenn jemand ir- gendeine Beziehung zum Streitobjekt zu haben behauptet. Zur Bejahung der Legitimation ist vielmehr erforderlich, dass der angefochtene Entscheid den</w:t>
      </w:r>
    </w:p>
    <w:p>
      <w:r>
        <w:t>- 6 -</w:t>
      </w:r>
    </w:p>
    <w:p>
      <w:r>
        <w:t>Beschwerdeführer in stärkerem Masse berührt als die Allgemeinheit der Bür- ger bzw. eine vom einschlägigen Bundesrecht erfasste spezifische Bezie- hungsnähe gegeben ist. Die Rechtsprechung anerkennt deshalb die Legiti- mation jeder natürlichen oder juristischen Person, die von einer Rechtshilfe- massnahme unmittelbar berührt wird, verneint dagegen die Beschwerdebe- fugnis von Personen, die nur mittelbar von der angefochtenen Verfügung betroffen sind (zum Ganzen BGE 130 II 162 E. 1.1 S. 163; 128 II 211 E. 2.3 S. 217; 123 II 153 E. 2b S. 156; TPF 2007 79 E. 1.6, je m.w.H.).</w:t>
      </w:r>
    </w:p>
    <w:p>
      <w:r>
        <w:rPr>
          <w:b/>
        </w:rPr>
        <w:t>E. 2.2.1</w:t>
      </w:r>
    </w:p>
    <w:p>
      <w:r>
        <w:t>Im Falle von Hausdurchsuchungen gilt der jeweilige Eigentümer oder Mieter als persönlich und direkt betroffen (Art. 9a lit. b IRSV i.V.m. Art. 21 Abs. 3 und 80h IRSG). Die Eigentümer- und Mieterstellung bezieht sich dabei auf die durchsuchten Räumlichkeiten (s. BGE 137 IV 134 E. 6.2). Werden anlässlich der Hausdurchsuchung sichergestellte Unterlagen be- schlagnahmt und deren rechtshilfeweise Herausgabe in der Folge angeord- net, ist zur Beschwerde gegen die angeordnete Übermittlung dieser Unterla- gen diejenige Person legitimiert, welche sich der Hausdurchsuchung und da- mit der Zwangsmassnahme unterziehen musste (zur eingeschränkten An- fechtbarkeit der mittels Zwischenverfügung erfolgten Beschlagnahmung s. aber Art 80e Abs. 2 lit. a IRSG). Massgeblich ist die tatsächliche Verfü- gungsgewalt im Zeitpunkt einer Beschlagnahme (s. BGE 137 IV 134, E. 6). Folglich ist beispielsweise der Verfasser von Schriftstücken, welche im Be- sitze eines Dritten beschlagnahmt wurden, nicht zur Beschwerde befugt (BGE 130 II 162 E. 1.1 S. 164; 123 II 161 E. 1d S. 164 f.; 116 Ib 106 E. 2a S. 109 ff.). Das gilt auch für Personen, auf welche sich die Unterlagen bezie- hen oder die Eigentümer sind, sofern sie nicht selbst im Besitz der betroffe- nen Unterlagen waren und sich nicht der Hausdurchsuchung unterziehen mussten (BGE 137 IV 134 E. 5 und 6; Entscheide des Bundesstrafgerichts RR.2009.13 vom 16. März 2009, E. 2.2 - 2.3; RR.2007.101 vom 12. Juli 2007, E. 2.1). Nach der Rechtsprechung ist allein der Aufbewahrer und Be- sitzer (Lagerhalter) von beschlagnahmten Geschäftsunterlagen (und elekt- ronischen Datenspeichern) beschwerdelegitimiert und nicht deren (von der Beschlagnahme nur indirekt betroffener) Hinterleger bzw. zivilrechtlicher Ei- gentümer (BGE 137 IV 134 E. 5.2.3; Urteile 1C_287/2008 vom 12. Januar 2009 E. 2.2 = Pra 2010 Nr. 22 S. 14; 1A.154/1995 vom 27. September 1995 = Rep 1995 S. 117; zuletzt bestätigt mit Urteil des Bundesgerichts 1C_533/2014 vom 16. Dezember 2014). Gleiches gilt, wenn anlässlich einer Hausdurchsuchung nicht Unterlagen, sondern (Wert-)Gegenstände sichergestellt und anschliessend beschlag- nahmt wurden, an denen ein Dritter ein Eigentumsrecht geltend macht. Im Zusammenhang mit der Herausgabe dieser Gegenstände wird der Umfang</w:t>
      </w:r>
    </w:p>
    <w:p>
      <w:r>
        <w:t>- 7 -</w:t>
      </w:r>
    </w:p>
    <w:p>
      <w:r>
        <w:t>der Rechte Dritter in Art. 74 Abs. 2 und Art. 74a Abs. 4 und 5 IRSG präzisiert (zum Ganzen s. TPF 2014 113 E. 3.3 ff. [=Entscheid des Bundesstrafgerichts RR.2014.95 vom 23. Oktober 2014]). Wie bereits in TPF 2014 113 E. 3.2 und 3.4 im Einzelnen erläutert, bestätigt mit Urteil des Bundesgerichts 1C_533/2014 vom 16. Dezember 2014, finden sich sowohl in der Rechtsprechung des Bundesgerichts wie auch in derjeni- gen des Bundesstrafgerichts zwar ausgehend vom in BGE 123 II 134 beur- teilten Einzelfall isolierte Entscheide, welche derjenigen Person, die behaup- tet, Eigentümerin oder gutgläubige Erwerberin der herauszugebenden (Wert-)Gegenstände zu sein, losgelöst von der Frage, ob sie sich unmittelbar einer Zwangsmassnahme unterziehen musste, und ohne weitergehende Be- gründung die Beschwerdelegitimation uneingeschränkt zuspricht. Diesen Entscheiden lagen allerdings jeweils besondere Konstellationen zugrunde, weshalb die vorstehend dargelegten Grundsätze davon unberührt bleiben (BGE 123 II 134 E. 1c; implizit BGE 123 II 268 E. 3 und 4; Urteile des Bun- desgerichts 1A.117/2000 vom 26. April 2000, E. 1c; 1A.14/2000 und 1A.15/2000 vom 3. Januar 2001, E. 1 f; Entscheide des Bundesstrafgerichts RR.2007.183 vom 21. Februar 2008, E. 1.3; zuletzt RR.2011.1 vom 18. Ok- tober 2011, E. 2.2.5, wonach die Behauptung von Eigentumsrechten am be- schlagnahmten Objekt zur Bejahung der Beschwerdelegitimation ausrei- chend sei).</w:t>
      </w:r>
    </w:p>
    <w:p>
      <w:r>
        <w:rPr>
          <w:b/>
        </w:rPr>
        <w:t>E. 2.2.2</w:t>
      </w:r>
    </w:p>
    <w:p>
      <w:r>
        <w:t>Die fraglichen Werke von D. E. wurden anlässlich der Hausdurchsuchung in den Räumlichkeiten des Museums F. bzw. in dessen Depot sichergestellt (Verfahrensakten, Urk. 4.1 ff.). Soweit das Museum bzw. die Stiftung K. Ei- gentümerin oder Mieterin der durchsuchten Räumlichkeiten ist, kann sie durch die angefochtene Rechtshilfemassnahme als persönlich und direkt be- troffen im Sinne von Art. 21 Abs. 3 und Art. 80h IRSG i.V.m. Art. 9a lit. b IRSV gelten. In diesem Rahmen ist sie zur Beschwerdeführung berechtigt. Soweit das Amt für Kultur des Kantons Graubünden Eigentümer oder Mieter der durchsuchten Räumlichkeiten ist, steht ihm das Beschwerderecht ge- mäss Art. 21 Abs. 3 und Art. 80h IRSG i.V.m. Art. 9a lit. b IRSV zu.</w:t>
      </w:r>
    </w:p>
    <w:p>
      <w:r>
        <w:t>Die Schlussverfügung wurde vorliegend dem Amt für Kultur des Kantons Graubünden eröffnet, aber nicht der Stiftung K. (act. 1.2). Demgegenüber wurde der Beschlagnahmebefehl noch dem Museum F. eröffnet (Verfahren- sakten, Urk. 4.3). Aufgrund der gesamten Umstände darf indes angenom- men werden, dass auch das Museum F. bzw. die Stiftung K. Kenntnis vom Ausgang des Rechtshilfeverfahrens hatte.</w:t>
      </w:r>
    </w:p>
    <w:p>
      <w:r>
        <w:t>- 8 -</w:t>
      </w:r>
    </w:p>
    <w:p>
      <w:r>
        <w:t>In Kenntnis der Schlussverfügung haben in der Folge weder das Amt für Kul- tur des Kantons Graubünden noch das Museum F. bzw. die Stiftung K. Be- schwerde gegen die angefochtene Beschlagnahme und deren Aufrechter- haltung betreffend die auszustellenden Werke von D. E. erhoben.</w:t>
      </w:r>
    </w:p>
    <w:p>
      <w:r>
        <w:rPr>
          <w:b/>
        </w:rPr>
        <w:t>E. 2.2.3</w:t>
      </w:r>
    </w:p>
    <w:p>
      <w:r>
        <w:t>Der Beschwerdeführer 2 hat die fraglichen Werke gemäss undatiertem und für das Museum F. mitunterschriebenem Kaufvertrag im Jahre 2009 von I. für Fr. 1'000'000.-- gekauft. In der Folge überliess der Beschwerdeführer 2 die Werke der "Stiftung K., Museum F." für 15 Jahre zur Leihe (Verfahrens- akten, Urk. 5.16). Gemäss eigenen Angaben wurden die Werke zwischen- zeitlich an die Beschwerdeführerin 1 zu Eigentum übertragen (act. 1 S. 3). Die Beschwerdegegnerin beantragt zwar die Abweisung der Beschwerde, äussert sich darüber hinaus aber nicht zur Beschwerdelegitimation der Be- schwerdeführer. Sie führt in der angefochtenen Schlussverfügung aus, der Beschwerdeführer 2 habe den Gutglaubensbeweis im Sinne von Art. 74a Abs. 4 lit. c IRSG erbracht (act. 1.2 S. 5). Das BJ hält in seiner Beschwerdeantwort fest, dass eine Herausgabe der beschlagnahmten Objekte nach Art. 74a IRSG, gegen welche dem gutgläu- bigen Erwerber eine Beschwerdelegitimation zukommen würde, noch nicht verfügt worden sei. Weiter erklärt es, dass eine übermässig lange Dauer der Beschlagnahme und ein unverhältnimässiger Eingriff in die Eigentumsrechte nicht vorzuliegen scheine, und verneint abschliessend die Beschwerdelegi- timation der Beschwerdeführer (act. 7). Die Beschwerdeführer begründen ihre Beschwerdelegitimation in ihrer Rep- lik damit, dass ein ausserordentliches Beschwerdeverfahren vorliege, weil es um Kultur und damit um ideelle Werte gehe (act. 9 S. 2 f.). Sie würden sich "ja auch nicht wirklich gegen die vorläufige Beschlagnahme" wehren. Thema ihrer Beschwerde sei die "Nutzung" des Kulturgutes und daran dürf- ten die Beschwerdeführer ohne Not nicht gehindert werden. Es gehe ihnen damit um ideelle Werte, welche einem Entscheid der Justiz zugänglich sein müssen (act. 9). Das Bundesgericht trat in BGE 123 II 134 E. 1c zwar auf die Beschwerde eines Beschwerdeführers ein, welcher geltend machte, das gestohlene Bild gutgläubig erworben zu haben (zu den weiteren Einzelfällen s. supra Ziff. 2.2.1). Im Unterschied dazu ist aber vorliegend von der Beschwerdebe- rechtigung des Museums F. bzw. der Stiftung K. oder allenfalls des Amtes für Kultur des Kantons Graubünden auszugehen. Die von den Beschwerde- führern angeführten Interessen ideeller Natur an der Anfechtung der Rechts-</w:t>
      </w:r>
    </w:p>
    <w:p>
      <w:r>
        <w:t>- 9 -</w:t>
      </w:r>
    </w:p>
    <w:p>
      <w:r>
        <w:t>hilfemassnahme sind gegebenenfalls daher durch diese Stellen wahrzuneh- men. Sie rechtfertigen es nicht, von den oben dargelegten Grundsätzen ab- zuweichen und der Beschwerdeführerin 1 ausnahmsweise ein Beschwerde- recht einzuräumen. Was den Beschwerdeführer 2 anbelangt, ist er gemäss eigener Darstellung ohnehin nicht mehr der Eigentümer der fraglichen Werke. Besondere Umstände, weshalb vorliegend ausnahmsweise die Be- schwerdelegitimation zu bejahen wäre, sind im heutigen Zeitpunkt demnach nicht dargetan.</w:t>
      </w:r>
    </w:p>
    <w:p>
      <w:r>
        <w:rPr>
          <w:b/>
        </w:rPr>
        <w:t>E. 2.2.4</w:t>
      </w:r>
    </w:p>
    <w:p>
      <w:r>
        <w:t>Nach dem Gesagten ist auf die Beschwerde mangels Legitimation nicht ein- zutreten.</w:t>
      </w:r>
    </w:p>
    <w:p>
      <w:r>
        <w:rPr>
          <w:b/>
        </w:rPr>
        <w:t>E. 3</w:t>
      </w:r>
    </w:p>
    <w:p>
      <w:r>
        <w:t>Bei diesem Ausgang des Verfahrens werden die Beschwerdeführer kosten- pflichtig (Art. 63 Abs. 1 VwVG i.V.m. Art. 39 Abs. 2 lit. b StBOG). Für die 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4'000.-- festzusetzen und den Beschwerdeführern aufzu- erlegen, unter Anrechnung des entsprechenden Betrages aus dem geleiste- ten Kostenvorschuss in der Höhe von Fr. 6'000.--. Die Bundesstrafgerichts- kasse ist anzuweisen, den Beschwerdeführern den Restbetrag von Fr. 2'000.-- zurückzuerstatten (Art. 63 Abs. 4bis lit. b VwVG; Art. 5 und 8 Abs. 3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