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RR.2015.284 vom 9. März 2016</w:t>
      </w:r>
    </w:p>
    <w:p>
      <w:r>
        <w:t>Bundesstrafgericht, 2016-03-09, FR</w:t>
      </w:r>
    </w:p>
    <w:p>
      <w:r>
        <w:rPr>
          <w:b/>
        </w:rPr>
        <w:t xml:space="preserve">Quelle: </w:t>
      </w:r>
      <w:r>
        <w:t>https://mcp.opencaselaw.ch/entscheid/bstger_RR.2015.284</w:t>
      </w:r>
    </w:p>
    <w:p>
      <w:r>
        <w:t>FR: TPF RR.2015.284 du 9 mars 2016</w:t>
      </w:r>
    </w:p>
    <w:p>
      <w:r>
        <w:t>IT: TPF RR.2015.284 del 9 marzo 2016</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ainsi que par l'Accord bilatéral complétant cette convention (RS 0.351.934.92).</w:t>
      </w:r>
    </w:p>
    <w:p>
      <w:r>
        <w:rPr>
          <w:b/>
        </w:rPr>
        <w:t>E. 1.1</w:t>
      </w:r>
    </w:p>
    <w:p>
      <w:r>
        <w:t>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Peut également s'appliquer en l'occurrence la</w:t>
      </w:r>
    </w:p>
    <w:p>
      <w:r>
        <w:t>- 4 -</w:t>
      </w:r>
    </w:p>
    <w:p>
      <w:r>
        <w:t>Convention européenne relative au blanchiment, au dépistage, à la saisie et à la confiscation des produits du crime (CBl; RS 0.311.53).</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qu’il ne soit pas encore en vigueur, en vertu de son art. 44 al. 3, l’Accord anti-fraude est applicable entre ces deux Etats à compter du 8 avril 2009.</w:t>
      </w:r>
    </w:p>
    <w:p>
      <w:r>
        <w:t>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140 IV 123 consid. 2; 137 IV 33 consid. 2.2.2).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al. 1 EIMP et 19 du règlement sur l’organisation du Tribunal pénal fédéral (ROTPF; RS 173.713.161), la Cour des plaintes du Tribunal pénal fédéral est compétente pour connaître des recours dirigés contre les décisions de clôture de la procédure d’entraide rendues par l’autorité fédérale d’exécution.</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 De même, le propriétaire ou le locataire des locaux dans lesquels s'est déroulée une perquisition sont notamment habilités à recourir contre cette mesure (art. 9a let. b OEIMP).</w:t>
      </w:r>
    </w:p>
    <w:p>
      <w:r>
        <w:rPr>
          <w:b/>
        </w:rPr>
        <w:t>E. 1.3.1</w:t>
      </w:r>
    </w:p>
    <w:p>
      <w:r>
        <w:t>Lorsque, comme en l'espèce, les informations dont la remise est envisagée</w:t>
      </w:r>
    </w:p>
    <w:p>
      <w:r>
        <w:t>- 5 -</w:t>
      </w:r>
    </w:p>
    <w:p>
      <w:r>
        <w:t>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w:t>
      </w:r>
    </w:p>
    <w:p>
      <w:r>
        <w:rPr>
          <w:b/>
        </w:rPr>
        <w:t>E. 1.3.2</w:t>
      </w:r>
    </w:p>
    <w:p>
      <w:r>
        <w:t>Ce principe a toutefois été tempéré par la jurisprudence. Lorsqu'une perquisition a été ordonnée pour les besoins d'une procédure pénale interne étroitement liée à une demande d'entraide présentée à la Suisse dans le même complexe de faits, il convient de reconnaître au propriétaire respectivement au locataire des locaux la qualité pour agir contre la décision de clôture de la procédure d'entraide, et cela quand bien même la mesure de contrainte a été ordonnée uniquement dans le cadre de la procédure pénale interne (arrêt du Tribunal pénal fédéral RR.2007.112 du 19 décembre 2007, consid. 2.5; ZIMMERMANN, La coopération judiciaire internationale en matière pénale, 4e éd. 2009, n° 526, p. 524). En l'espèce, force est de reconnaître que la procédure interne diligentée par le MPC au cours de laquelle les documents dont la remise est ici contestée est étroitement liée à la demande d'entraide française du 11 septembre 2013. La recourante a ainsi qualité pour agir concernant les documents saisis lors de la perquisition de ses locaux.</w:t>
      </w:r>
    </w:p>
    <w:p>
      <w:r>
        <w:rPr>
          <w:b/>
        </w:rPr>
        <w:t>E. 1.4</w:t>
      </w:r>
    </w:p>
    <w:p>
      <w:r>
        <w:t>Le recours est ainsi recevable et il y a lieu d'entrer en matière.</w:t>
      </w:r>
    </w:p>
    <w:p>
      <w:r>
        <w:rPr>
          <w:b/>
        </w:rPr>
        <w:t>E. 2</w:t>
      </w:r>
    </w:p>
    <w:p>
      <w:r>
        <w:t>S'agissant de l'erreur affectant la décision entreprise au chiffre 2 de son dispositif, force est de constater que, certes malencontreuse, elle n'a pas la portée que tente de lui prêter la recourante. Elle n'a en d'autres termes pas pour effet de conduire à l'admission partielle du recours, et ce pour les motifs qui seront exposés ci-après en lien avec la question du respect du principe de la proportionnalité (v. infra consid. 4.3). Dans ces circonstances, la Cour prend acte de la modification proposée par le MPC le 20 novembre 2015 (v. supra let. G) et réformera, dans le dispositif du présent arrêt, la décision entreprise dans ce sens (v. infra ch. 2 du dispositif).</w:t>
      </w:r>
    </w:p>
    <w:p>
      <w:r>
        <w:rPr>
          <w:b/>
        </w:rPr>
        <w:t>E. 3</w:t>
      </w:r>
    </w:p>
    <w:p>
      <w:r>
        <w:t>La recourante argue d'abord du caractère soi-disant lacunaire de la demande d'entraide (act. 1, p. 10 ss).</w:t>
      </w:r>
    </w:p>
    <w:p>
      <w:r>
        <w:rPr>
          <w:b/>
        </w:rPr>
        <w:t>E. 3.1</w:t>
      </w:r>
    </w:p>
    <w:p>
      <w:r>
        <w:t>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w:t>
      </w:r>
    </w:p>
    <w:p>
      <w:r>
        <w:t>- 6 -</w:t>
      </w:r>
    </w:p>
    <w:p>
      <w:r>
        <w:t>requérante et requise (art. 5 ch. 1 let. a CEEJ), qu'il ne constitue pas un délit politique ou fiscal (art. 2 let. a CEEJ), et que le principe de la proportionnalité est respecté (ATF 118 Ib 111 consid. 5b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rPr>
          <w:b/>
        </w:rPr>
        <w:t>E. 3.2</w:t>
      </w:r>
    </w:p>
    <w:p>
      <w:r>
        <w:t>La remise d'informations bancaires est une mesure de contrainte au sens de l’art. 63 al. 2 let. c EIMP, qui ne peut être ordonnée, selon l’art. 64 al. 1 EIMP mis en relation avec la réserve faite par la Suisse à l’art. 5 ch. 1 let. a CEEJ, que si l’état de faits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w:t>
      </w:r>
    </w:p>
    <w:p>
      <w:r>
        <w:rPr>
          <w:b/>
        </w:rPr>
        <w:t>E. 3.3</w:t>
      </w:r>
    </w:p>
    <w:p>
      <w:r>
        <w:t>En l’espèce, la demande d’entraide a été présentée pour la répression de nombreux chefs d'inculpation, parmi lesquels la complicité de détournements de fonds publics au sens de l'art. 432-15 du Code pénal français (ci-après: CP-Fr). On comprend à cet égard de la commission rogatoire française que l'autorité requérante soupçonne notamment le président du pays Y. et ses proches d'avoir détourné des fonds publics à leurs profits personnels,</w:t>
      </w:r>
    </w:p>
    <w:p>
      <w:r>
        <w:t>- 7 -</w:t>
      </w:r>
    </w:p>
    <w:p>
      <w:r>
        <w:t>notamment en vue d'acquérir des biens immobiliers en France. L’autorité requérante enquête ainsi sur des soupçons de gestion déloyale des intérêts publics au préjudice du pays Y.</w:t>
      </w:r>
    </w:p>
    <w:p>
      <w:r>
        <w:rPr>
          <w:b/>
        </w:rPr>
        <w:t>E. 3.3.1</w:t>
      </w:r>
    </w:p>
    <w:p>
      <w:r>
        <w:t>Selon la jurisprudence, la condition de la double incrimination peut également être réalisée si les faits présentés à l’appui de la demande d’entraide correspondent, dans l’Etat requis, à une infraction pour laquelle la poursuite dans l’Etat requérant n’est pas ouverte (arrêt du Tribunal fédéral 1A.127/2003, consid. 5 et les références citées; ZIMMERMANN, op. cit., no 581). Le fait que, dans le cas d’espèce, les autorités françaises fondent leurs poursuites notamment sur le chef de détournement de fonds publics n’empêche ainsi pas l’Etat requis d’examiner la condition de la double incrimination sous l’angle d’une infraction autre que celles retenues selon le droit français.</w:t>
      </w:r>
    </w:p>
    <w:p>
      <w:r>
        <w:rPr>
          <w:b/>
        </w:rPr>
        <w:t>E. 3.3.2</w:t>
      </w:r>
    </w:p>
    <w:p>
      <w:r>
        <w:t>Se rend coupable de gestion déloyale des intérêts publics, selon le droit suisse, le membre d'une autorité qui, dans le dessein de se procurer ou de procurer à un tiers un avantage illicite, aura lésé dans un acte juridique les intérêts publics qu'il avait mission de défendre (art. 314 CP).</w:t>
      </w:r>
    </w:p>
    <w:p>
      <w:r>
        <w:t>En l'espèce, les faits tels qu'exposés dans la demande d'entraide et relatés en partie au considérant précédent, tomberaient – s'ils étaient transposés en droit suisse – sous le coup de l'art. 314 CP susmentionné.</w:t>
      </w:r>
    </w:p>
    <w:p>
      <w:r>
        <w:rPr>
          <w:b/>
        </w:rPr>
        <w:t>E. 3.4</w:t>
      </w:r>
    </w:p>
    <w:p>
      <w:r>
        <w:t>Il s’ensuit que la condition de la double incrimination est remplie en l’espèce et que le contenu de la demande française satisfait aux exigences de l’art. 14 CEEJ. Les griefs soulevés par la recourante à cet égard sont par conséquent infondés. Il n’est au surplus pas nécessaire de vérifier si l’exposé des faits de la demande réalise également les éléments constitutifs d’autres infractions pénales selon le droit suisse. En effet, à l’inverse de ce qui prévaut en matière d’extradition, la réunion des éléments constitutifs d’une seule infraction suffit pour l’octroi de l’entraide régie par la CEEJ (ATF 125 II 569 consid. 6, arrêt du Tribunal fédéral 1C_138/2007 du 17 juillet 2007, consid. 2.3.2).</w:t>
      </w:r>
    </w:p>
    <w:p>
      <w:r>
        <w:rPr>
          <w:b/>
        </w:rPr>
        <w:t>E. 4</w:t>
      </w:r>
    </w:p>
    <w:p>
      <w:r>
        <w:t>La recourante se plaint enfin d’une violation du principe de la proportionnalité.</w:t>
      </w:r>
    </w:p>
    <w:p>
      <w:r>
        <w:rPr>
          <w:b/>
        </w:rPr>
        <w:t>E. 4.1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w:t>
      </w:r>
    </w:p>
    <w:p>
      <w:r>
        <w:t>- 8 -</w:t>
      </w:r>
    </w:p>
    <w:p>
      <w:r>
        <w:t>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w:t>
      </w:r>
    </w:p>
    <w:p>
      <w:r>
        <w:rPr>
          <w:b/>
        </w:rPr>
        <w:t>E. 4.2.1</w:t>
      </w:r>
    </w:p>
    <w:p>
      <w:r>
        <w:t>Comme rappelé plus haut, l'autorité requérante enquête sur les circonstances dans lesquelles les patrimoines mobilier et immobilier des présidents des pays Z., Y. et .X. – ainsi que de leurs proches – ont été acquis en France. La demande d'entraide mentionne expressément le large champ couvert par les investigations, soit "l'indentification des avoirs mobiliers et immobiliers des familles J., K. et L." (p. 3 i.i.). On y lit encore que l'enquête "s'est orientée sur le patrimoine immobilier du Président du pays Y., (…), de sa famille et de son entourage proche" (ibidem), étant précisé qu'un intérêt particulier est porté aux divers prête-noms et autres sociétés écrans utilisés par les intéressés dans ce cadre. Or la société recourante, auprès de laquelle les documents que l'autorité d'exécution entend transmettre à l'autorité requérante ont été saisis, a pour directeur le dénommé I. (v. supra let. C), expressément mentionné dans la demande d'entraide comme ayant</w:t>
      </w:r>
    </w:p>
    <w:p>
      <w:r>
        <w:t>- 9 -</w:t>
      </w:r>
    </w:p>
    <w:p>
      <w:r>
        <w:t>joué un rôle dans le schéma d'acquisitions immobilières sous enquête.</w:t>
      </w:r>
    </w:p>
    <w:p>
      <w:r>
        <w:rPr>
          <w:b/>
        </w:rPr>
        <w:t>E. 4.2.2</w:t>
      </w:r>
    </w:p>
    <w:p>
      <w:r>
        <w:t>Dans ces conditions, force est dès lors d'admettre qu'il existe un rapport de connexité objectif entre la recourante et le champ des investigations menées par l'autorité française. Lorsque la demande vise à éclaircir le cheminement de fonds d'origine délictueuse, il convient en principe d'informer l'Etat requérant de toutes les transactions opérées au nom des sociétés et par le biais des comptes impliqués dans l'affaire, même sur une période relativement étendue (ATF 121 II 241 consid. 3c). S'agissant d'informations sur les structures susceptibles, comme en l’espèce, d’avoir servi d'écrans dans un mécanisme de blanchiment du produit d’infractions pénales, l’autorité requérante a intérêt à pouvoir prendre connaissance de l'ensemble de la documentation relative auxdites structures, et en particulier aux rapports établis par le CCCF portant précisément sur ces dernières. Elle dispose également d’un intérêt à être informée de toute transaction susceptible de s’inscrire dans le mécanisme de blanchiment mis en place par les personnes sous enquête en France.</w:t>
      </w:r>
    </w:p>
    <w:p>
      <w:r>
        <w:t>Certes, il se peut également que les structures litigieuses et autres comptes qui y sont liés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w:t>
      </w:r>
    </w:p>
    <w:p>
      <w:r>
        <w:rPr>
          <w:b/>
        </w:rPr>
        <w:t>E. 4.2.3</w:t>
      </w:r>
    </w:p>
    <w:p>
      <w:r>
        <w:t>En l’espèce, l’autorité d’exécution entend transmettre divers rapports du CCCF et leurs annexes qui ont précisément pour objet l'analyse de la documentation saisie dans les locaux de la recourante, dont on rappelle que</w:t>
      </w:r>
    </w:p>
    <w:p>
      <w:r>
        <w:t>- 10 -</w:t>
      </w:r>
    </w:p>
    <w:p>
      <w:r>
        <w:t>le directeur est expressément mentionné dans la demande d'entraide comme ayant joué un rôle dans l'activité délictueuse sous enquête en France. Il s’ensuit que l'exécution de la demande d'entraide telle que menée par le MPC ne constitue pas une fishing expedition et la transmission de la documentation litigieuse ne viole ni le principe de l'utilité potentielle ni celui de la proportionnalité.</w:t>
      </w:r>
    </w:p>
    <w:p>
      <w:r>
        <w:rPr>
          <w:b/>
        </w:rPr>
        <w:t>E. 4.3</w:t>
      </w:r>
    </w:p>
    <w:p>
      <w:r>
        <w:t>Quant à l'erreur contenue au chiffre 2 du dispositif de la décision entreprise, et au fait que le nombre de pièces à transmettre est en réalité moins important que malencontreusement indiqué audit chiffre, il a déjà été relevé qu'elle n'a pas la portée que tente de lui prêter la recourante (v. supra consid. 2), soit l'admission partielle du recours pour violation du principe de la proportionnalité. En effet, il appert en l'espèce que la recourante n'a pas satisfait à son devoir de coopération, omettant d'indiquer avec précision quels documents ne devaient pas, selon elle, être transmis et pour quels motifs (v. supra consid. 4.1 in fine). Elle n'a en définitive soulevé aucun argument précis en lien avec les pièces dont le MPC a dans un premier temps ordonné la transmission par erreur. Le fait de contester la pertinence de l'ensemble de la documentation à transmettre n'est à cet égard pas suffisant dès lors que pareil procédé revient en définitive à remettre en cause le lien de connexité entre les informations à transmettre et l'enquête française, lien dont il a été vu qu'il est en l'espèce établi à satisfaction (v. supra consid. 4.2.2)</w:t>
      </w:r>
    </w:p>
    <w:p>
      <w:r>
        <w:t>Il s’ensuit que le grief tiré de la violation du principe de la proportionnalité n’est pas fondé et doit être rejeté.</w:t>
      </w:r>
    </w:p>
    <w:p>
      <w:r>
        <w:t>5. Les considérants qui précèdent conduisent au rejet du recours.</w:t>
      </w:r>
    </w:p>
    <w:p>
      <w:r>
        <w:t>6. 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dont le montant est fixé à CHF 5'000.-- (art. 73 al. 2 LOAP et art. 8 al. 3 du règlement du Tribunal pénal fédéral sur les frais, émoluments, dépens, et indemnités de la procédure pénale fédérale du 31 août 2010 [RFPPF; RD 173.713.162] et art. 63 al. 5 PA), entièrement couverts par l'avance de frais effectuée.</w:t>
      </w:r>
    </w:p>
    <w:p>
      <w:r>
        <w:t>- 11 -</w:t>
      </w:r>
    </w:p>
    <w:p>
      <w:r>
        <w:rPr>
          <w:b/>
        </w:rPr>
        <w:t>E. 9</w:t>
      </w:r>
    </w:p>
    <w:p>
      <w:r>
        <w:t>avril 2009, consid. 2.2.4 et la jurisprudence citée).</w:t>
      </w:r>
    </w:p>
    <w:p>
      <w:r>
        <w:t>Par ailleurs, dans le cadre de la procédure d’entraide, la personne touchée par la saisie est tenue, à peine de forclusion, d’indiquer à l’autorité quels documents ne devraient pas, selon elle, être transmis et pour quels motifs. Le tri des pièces n’est ainsi pas l’affaire exclusive de l’autorité; à cet égard, un véritable devoir de collaboration incombe au détenteur (arrêt du Tribunal fédéral 1A.216/2001 du 21 mars 2002, consid. 3.1; ATF 130 II 14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