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RR.2015.279 vom 21. Dezember 2015</w:t>
      </w:r>
    </w:p>
    <w:p>
      <w:r>
        <w:t>Bundesstrafgericht, 2015-12-21, DE</w:t>
      </w:r>
    </w:p>
    <w:p>
      <w:r>
        <w:rPr>
          <w:b/>
        </w:rPr>
        <w:t xml:space="preserve">Quelle: </w:t>
      </w:r>
      <w:r>
        <w:t>https://mcp.opencaselaw.ch/entscheid/bstger_RR.2015.279</w:t>
      </w:r>
    </w:p>
    <w:p>
      <w:r>
        <w:t>FR: TPF RR.2015.279 du 21 décembre 2015</w:t>
      </w:r>
    </w:p>
    <w:p>
      <w:r>
        <w:t>IT: TPF RR.2015.279 del 21 dicembre 2015</w:t>
      </w:r>
    </w:p>
    <w:p>
      <w:pPr>
        <w:pStyle w:val="Heading2"/>
      </w:pPr>
      <w:r>
        <w:t>Regeste</w:t>
      </w:r>
    </w:p>
    <w:p>
      <w:r>
        <w:t>Auslieferung an die USA. Auslieferungsentscheid (Art. 55 IRSG)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August 2010 des Bundesstrafgerichts über die Kosten, Gebühren und Entschädigungen in Bundesstrafverfahren (BStKR; SR 173.713.162) zur Anwendung gelangt (Art. 63 Abs. 5 VwVG i.V.m. Art. 53 Abs. 2 lit. a StBOG) und die Gerichtsgebühr vorliegend auf Fr. 800.-- anzusetzen ist, unter Anrechnung des entsprechenden Betrags aus dem geleisteten Kostenvorschuss in der Höhe von Fr. 3'000.-- (act. 3); die Bundesstrafgerichtskasse anzuweisen ist, den Restbetrag von Fr. 2'200.-- dem Beschwerdeführer zurückzuerstatten.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