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RR.2015.271 vom 25. November 2015</w:t>
      </w:r>
    </w:p>
    <w:p>
      <w:r>
        <w:t>Bundesstrafgericht, 2015-11-25, FR</w:t>
      </w:r>
    </w:p>
    <w:p>
      <w:r>
        <w:rPr>
          <w:b/>
        </w:rPr>
        <w:t xml:space="preserve">Quelle: </w:t>
      </w:r>
      <w:r>
        <w:t>https://mcp.opencaselaw.ch/entscheid/bstger_RR.2015.271</w:t>
      </w:r>
    </w:p>
    <w:p>
      <w:r>
        <w:t>FR: TPF RR.2015.271 du 25 novembre 2015</w:t>
      </w:r>
    </w:p>
    <w:p>
      <w:r>
        <w:t>IT: TPF RR.2015.271 del 25 novembre 2015</w:t>
      </w:r>
    </w:p>
    <w:p>
      <w:pPr>
        <w:pStyle w:val="Heading2"/>
      </w:pPr>
      <w:r>
        <w:t>Regeste</w:t>
      </w:r>
    </w:p>
    <w:p>
      <w:r>
        <w:t>Entraide judiciaire internationale en matière pénale à la Fédération de Russie. Remise de moyens de preuve (art. 74 EIMP)</w:t>
      </w:r>
    </w:p>
    <w:p>
      <w:pPr>
        <w:pStyle w:val="Heading2"/>
      </w:pPr>
      <w:r>
        <w:t>Erwägungen</w:t>
      </w:r>
    </w:p>
    <w:p>
      <w:r>
        <w:rPr>
          <w:b/>
        </w:rPr>
        <w:t>E. 1.1</w:t>
      </w:r>
    </w:p>
    <w:p>
      <w:r>
        <w:t>L’entraide judiciaire entre la Confédération suisse et la Russie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w:t>
      </w:r>
    </w:p>
    <w:p>
      <w:r>
        <w:t>- 4 -</w:t>
      </w:r>
    </w:p>
    <w:p>
      <w:r>
        <w:t>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Formés le lundi 5 octobre 2015 contre des décisions notifiées au plus tôt 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(cf. ATF 137 IV 134 consid. 5.2.1 et 118 Ib 547 consid. 1d).</w:t>
      </w:r>
    </w:p>
    <w:p>
      <w:r>
        <w:rPr>
          <w:b/>
        </w:rPr>
        <w:t>E. 1.4.2</w:t>
      </w:r>
    </w:p>
    <w:p>
      <w:r>
        <w:t>Titulaires respectifs des comptes bancaires dont la remise de la documentation a été ordonnée dans l'acte entrepris, B. et A. ont qualité pour attaquer celui-ci en ce qu'il ordonne la transmission de la documentation bancaire y relative.</w:t>
      </w:r>
    </w:p>
    <w:p>
      <w:r>
        <w:rPr>
          <w:b/>
        </w:rPr>
        <w:t>E. 1.4.3</w:t>
      </w:r>
    </w:p>
    <w:p>
      <w:r>
        <w:t>S'agissant des autres documents objet de la décision entreprise, soit l'ordonnance d'ouverture d'une instruction pénale à l'encontre du recourant et la communication du MROS du 24 octobre 2013, ils ont été recueillis dans le cadre de la procédure pénale ouverte par le MPC.</w:t>
      </w:r>
    </w:p>
    <w:p>
      <w:r>
        <w:rPr>
          <w:b/>
        </w:rPr>
        <w:t>E. 1.4.3.1</w:t>
      </w:r>
    </w:p>
    <w:p>
      <w:r>
        <w:t>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(cf. notamment arrêt du Tribunal pénal fédéral RR.2014.106-109 du 3 novembre 2014, consid. 1.5, et les références citées).</w:t>
      </w:r>
    </w:p>
    <w:p>
      <w:r>
        <w:rPr>
          <w:b/>
        </w:rPr>
        <w:t>E. 1.4.3.2</w:t>
      </w:r>
    </w:p>
    <w:p>
      <w:r>
        <w:t>Ce principe a été tempéré par la jurisprudence, notamment dans deux cas. Une de ces exceptions est réalisée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TPF 2007</w:t>
      </w:r>
    </w:p>
    <w:p>
      <w:r>
        <w:t>- 5 -</w:t>
      </w:r>
    </w:p>
    <w:p>
      <w:r>
        <w:t>79 consid. 1.6.1 et 1.6.3). Une autre exception est réalisée lorsque le recourant a été entendu dans une procédure suisse distincte mais que les faits sur lesquels il est interrogé sont en rapport étroit avec la demande d’entraide. Dans une telle situation, bien que les procès-verbaux soient déjà en mains de l’autorité d’exécution et n’impliquent pas, pour l’exécution de la demande d’entraide, de mesure de contrainte, le recourant devrait pouvoir s’opposer à leur transmission comme pourrait le faire la personne interrogée dans le cadre de la procédure d'entraide (cf. arrêt du Tribunal fédéral 1A.243/2006 du 4 janvier 2007, consid. 1.2; arrêt du Tribunal pénal fédéral RR.2009.281 du 7 juillet 2010, consid. 2.2). Dans un arrêt du 11 février 2005, le Tribunal fédéral a en outre reconnu à un recourant la qualité pour agir contre la transmission d'un rapport intermédiaire de la police judiciaire fédérale mentionnant les avoirs du recourant et contenant un résumé de ses différentes déclarations (arrêt du Tribunal fédéral 1A.268/2004 du 11 février 2005, consid. 2.2; v. également arrêt du Tribunal fédéral 1A.133/2000 du 24 juin 2000, consid. 1b in fine; arrêts du Tribunal pénal fédéral RR.2014.103 du 9 octobre 2014, consid. 1.5.1; RR.2013.3 du 22 mars 2013, consid. 2.3; RR.2012.206 du 19 décembre 2012, consid. 2.3; RR.2010.60 du 8 juillet 2010, consid. 1.3.2/a).</w:t>
      </w:r>
    </w:p>
    <w:p>
      <w:r>
        <w:rPr>
          <w:b/>
        </w:rPr>
        <w:t>E. 1.4.3.3</w:t>
      </w:r>
    </w:p>
    <w:p>
      <w:r>
        <w:t>La communication du MROS du 24 octobre 2013 comprend en annexe plusieurs documents relatifs aux relations bancaires litigieuses (cf. causes RR. 2015.271 et RR.2015.272, act. 7.11). La remise de ceux-ci à l'Etat requérant équivaudrait à une transmission d'informations bancaires, si bien que le recourant est habilité à contester la décision entreprise sur ce point. Il en va différemment de l'ordonnance d'ouverture d'une instruction par le MPC, dès lors qu'aucune des deux conditions alternatives qui viennent d'être mentionnées (consid. 1.4.3.2) n'est remplie à cet égard.</w:t>
      </w:r>
    </w:p>
    <w:p>
      <w:r>
        <w:rPr>
          <w:b/>
        </w:rPr>
        <w:t>E. 1.5</w:t>
      </w:r>
    </w:p>
    <w:p>
      <w:r>
        <w:t>Il y a donc lieu d'entrer en matière partiellement sur les recours.</w:t>
      </w:r>
    </w:p>
    <w:p>
      <w:r>
        <w:t>2.</w:t>
      </w:r>
    </w:p>
    <w:p>
      <w:r>
        <w:t>2.1 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(BENOÎT BOVAY, Procédure administrative, 2e éd. 2015, p. 218 s.). Bien qu’elle ne soit pas prévue par la loi fédérale sur la procédure administrative (PA; RS 172.021), applicable à la présente cause par renvoi des art. 12 al. 1 EIMP et 39 al. 2 let. c LOAP; RS 173.71, l’institution de la jonction des causes est néanmoins admise en pratique</w:t>
      </w:r>
    </w:p>
    <w:p>
      <w:r>
        <w:t>- 6 -</w:t>
      </w:r>
    </w:p>
    <w:p>
      <w:r>
        <w:t>(cf. arrêts du Tribunal pénal fédéral RR.2008.190-207 du 26 février 2009, consid. 1; RR.2008.216 + RR.2008.225-230 du 20 novembre 2008, consid. 1.2; MOSER/BEUSCH/KNEUBÜHLER, Prozessieren vor dem Bundesverwaltungsgericht, 2e éd. 2013, § 3.17, p. 144 s.).</w:t>
      </w:r>
    </w:p>
    <w:p>
      <w:r>
        <w:t>2.2 En l’espèce, il se justifie de joindre les causes des deux recourants, lesquelles concernent le même complexe de faits, ce d’autant que les intéressés ne font pas valoir d’intérêts contradictoires qui commanderaient un prononcé séparé, qu’ils sont représentés par le même avocat et qu’ils invoquent des arguments quasiment identiques.</w:t>
      </w:r>
    </w:p>
    <w:p>
      <w:r>
        <w:rPr>
          <w:b/>
        </w:rPr>
        <w:t>E. 3</w:t>
      </w:r>
    </w:p>
    <w:p>
      <w:r>
        <w:t>Les recourants invoquent une violation du principe de la proportionnalité.</w:t>
      </w:r>
    </w:p>
    <w:p>
      <w:r>
        <w:rPr>
          <w:b/>
        </w:rPr>
        <w:t>E. 3.1</w:t>
      </w:r>
    </w:p>
    <w:p>
      <w:r>
        <w:t>Selon eux, l'Etat requérant n'a pas expliqué en quoi la transmission des documents dont la remise été ordonnée par le MPC serait susceptible de faire progresser son enquête. Il ne ressortirait en particulier pas de la demande d'entraide ou de ses compléments que l'argent déposé sur les relations bancaires litigieuses serait le produit des infractions dont le recourant est soupçonné. Tel ne pourrait d'ailleurs pas être le cas, compte tenu du laps de temps important s'étant écoulé entre la période durant laquelle l'activité délictueuse se serait déroulée selon les autorités russes et (entre 1996 et 2009) et le moment de l'ouverture des comptes bancaires litigieux (2012). Quant à la transmission de l'ordonnance d'ouverture d'une instruction par le MPC, respectivement de la communication du MROS du 24 octobre 2013, elle ne serait manifestement d'aucune utilité à l'Etat requérant.</w:t>
      </w:r>
    </w:p>
    <w:p>
      <w:r>
        <w:rPr>
          <w:b/>
        </w:rPr>
        <w:t>E. 3.2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w:t>
      </w:r>
    </w:p>
    <w:p>
      <w:r>
        <w:t>- 7 -</w:t>
      </w:r>
    </w:p>
    <w:p>
      <w:r>
        <w:t>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Berne 2014, n° 723, p. 748 ss).</w:t>
      </w:r>
    </w:p>
    <w:p>
      <w:r>
        <w:rPr>
          <w:b/>
        </w:rPr>
        <w:t>E. 3.3</w:t>
      </w:r>
    </w:p>
    <w:p>
      <w:r>
        <w:t>Les autorités russes soupçonnent le recourant d'avoir pris le contrôle d'une entreprise active dans la production de boissons alcoolisées, au terme de toute une série d'actes frauduleux. Ces manœuvres auraient permis à</w:t>
      </w:r>
    </w:p>
    <w:p>
      <w:r>
        <w:t>- 8 -</w:t>
      </w:r>
    </w:p>
    <w:p>
      <w:r>
        <w:t>l'intéressé d'empocher la part aux bénéfices revenant aux autres associés de l'entité en question (act. 7.1, p. 5). Les pièces versées au dossier ne contiennent pas d'indications quant au cheminement des fonds qu'aurait ainsi perçus l'intéressé. Cela étant, il est tout à fait possible que ce dernier les ait fait transiter par les comptes bancaires objet de la décision entreprise, afin d'en dissimuler la provenance; le fait que la relation litigieuse détenue par le recourant a été alimentée en 2013 par des comptes qu'avait ouverts celui-ci à Monaco (cf. cause RR.2015.271, act. 1.1, p. 6), respectivement que figurent sur celle détenue par la recourante des valeurs incompatibles avec l'activité de femme au foyer qu'exerce l'intéressée (cf. cause RR.2015.272, act. 1.1, p. 6), ne peut en tout cas manquer d'éveiller des soupçons. Dans ces conditions, la documentation bancaire objet de la décision litigieuse présente manifestement une utilité, au moins potentielle, pour l'Etat requérant. Cela vaut aussi pour les autres documents dont le MPC a ordonné la remise à la Russie, dès lors qu'ils se rapportent au même complexe de faits. Compte tenu de ce qui précède, le grief est mal fondé.</w:t>
      </w:r>
    </w:p>
    <w:p>
      <w:r>
        <w:rPr>
          <w:b/>
        </w:rPr>
        <w:t>E. 4</w:t>
      </w:r>
    </w:p>
    <w:p>
      <w:r>
        <w:t>Il s'ensuit que le recours est mal fondé.</w:t>
      </w:r>
    </w:p>
    <w:p>
      <w:r>
        <w:rPr>
          <w:b/>
        </w:rPr>
        <w:t>E. 5</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 solidairement – les frais du présent arrêt, fixés à CHF 8'000.-- (art. 73 al. 2 LOAP et art. 8 al. 3 du règlement du Tribunal pénal fédéral sur les frais, émoluments, dépens, et indemnités de la procédure pénale fédérale du 31 août 2010 [RFPPF; RS 173.713.162] et art. 63 al. 5 PA), couverts par les avances de frais effectuées.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