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RR.2015.266 vom 11. Dezember 2015</w:t>
      </w:r>
    </w:p>
    <w:p>
      <w:r>
        <w:t>Bundesstrafgericht, 2015-12-11, DE</w:t>
      </w:r>
    </w:p>
    <w:p>
      <w:r>
        <w:rPr>
          <w:b/>
        </w:rPr>
        <w:t xml:space="preserve">Quelle: </w:t>
      </w:r>
      <w:r>
        <w:t>https://mcp.opencaselaw.ch/entscheid/bstger_RR.2015.266</w:t>
      </w:r>
    </w:p>
    <w:p>
      <w:r>
        <w:t>FR: TPF RR.2015.266 du 11 décembre 2015</w:t>
      </w:r>
    </w:p>
    <w:p>
      <w:r>
        <w:t>IT: TPF RR.2015.266 del 11 dicembre 2015</w:t>
      </w:r>
    </w:p>
    <w:p>
      <w:pPr>
        <w:pStyle w:val="Heading2"/>
      </w:pPr>
      <w:r>
        <w:t>Regeste</w:t>
      </w:r>
    </w:p>
    <w:p>
      <w:r>
        <w:t>Auslieferung an Serbien. Beschwerde gegen Auslieferungsentscheid (Art. 55 IRSG).</w:t>
      </w:r>
    </w:p>
    <w:p>
      <w:pPr>
        <w:pStyle w:val="Heading2"/>
      </w:pPr>
      <w:r>
        <w:t>Erwägungen</w:t>
      </w:r>
    </w:p>
    <w:p>
      <w:r>
        <w:rPr>
          <w:b/>
        </w:rPr>
        <w:t>E. 1</w:t>
      </w:r>
    </w:p>
    <w:p>
      <w:r>
        <w:t>Für den Auslieferungsverkehr zwischen der Schweiz und Serbien sind pri- mär das Europäische Auslieferungsübereinkommen vom 13. Dezember 1957 (EAUe, SR 0.353.1) sowie das zu diesem Übereinkommen am 15. Ok- tober 1975 ergangene erste Zusatzprotokoll (1. ZP, SR 0.353.11) und das am 17. März 1978 ergangene zweite Zusatzprotokoll (2. ZP, SR 0.353.12) massgebend. Wo Übereinkommen und Zusatzprotokolle nichts anderes be- stimmen, findet auf das Verfahren der Auslieferung ausschliesslich das Recht des ersuchten Staates Anwendung (Art. 22 EAUe), vorliegend also das Bundesgesetz vom 20. März 1981 über internationale Rechtshilfe in Strafsachen (IRSG, SR 351.1) und die Verordnung vom 24. Februar 1982</w:t>
      </w:r>
    </w:p>
    <w:p>
      <w:r>
        <w:t>über internationale Rechtshilfe in Strafsachen (IRSV, SR 351.11). Das inner- staatliche Recht gelangt nach dem Günstigkeitsprinzip auch dann zur An- wendung, wenn dieses geringere Anforderungen an die Auslieferung stellt (BGE 140 IV 123 E.2; 137 IV 33 E. 2.2.2; 136 IV 82 E. 3.1; 129 II 462 E. 1.1 S. 464 und 122 I 140 E. 2 S. 142). Vorbehalten bleibt die Wahrung der Men- schenrechte (BGE 135 IV 212 E. 2.3; 123 II 595 E. 7c). Auf Beschwerdever- fahren in internationalen Rechtshilfeangelegenheiten sind zudem die Be- stimmungen des Bundesgesetzes vom 20. Dezember 1968 über das Ver- waltungsverfahren (Verwaltungsverfahrensgesetz, VwVG; SR 172.021) an- wendbar (Art. 39 Abs. 2 lit. b i.V.m. Art. 37 Abs. 2 lit. a StBOG), wenn das IRSG nichts anderes bestimmt (siehe Art. 12 Abs. 1 IRSG).</w:t>
      </w:r>
    </w:p>
    <w:p>
      <w:r>
        <w:rPr>
          <w:b/>
        </w:rPr>
        <w:t>E. 2</w:t>
      </w:r>
    </w:p>
    <w:p>
      <w:r>
        <w:t>Gegen Auslieferungsentscheide des BJ kann innerhalb von 30 Tagen nach Eröffnung des Entscheids bei der Beschwerdekammer des Bundesstrafge- richts Beschwerde geführt werden (Art. 55 Abs. 3 i.V.m. Art. 25 Abs. 1 IRSG; Art. 12 Abs. 1 IRSG i.V.m. Art. 50 Abs. 1 VwVG). Die bei der unzuständigen Behörde eingereichte Beschwerde schadet dem Beschwerdeführer nicht (Art. 12 Abs. 1 IRSG i.V.m. Art. 21 Abs. 2 VwVG), sodass sich die gegen den Auslieferungsentscheid vom 18. September 2015 erhobene Beschwerde vom 23. September 2015 als fristgerecht erweist. Die übrigen Eintretens- voraussetzungen geben zu keinen Bemerkungen Anlass, weshalb auf die Beschwerde einzutreten ist.</w:t>
      </w:r>
    </w:p>
    <w:p>
      <w:r>
        <w:rPr>
          <w:b/>
        </w:rPr>
        <w:t>E. 3</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diciare internationale en matière pénale, 4. Aufl., Bern 2014, N 522, S. 519).</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4.1</w:t>
      </w:r>
    </w:p>
    <w:p>
      <w:r>
        <w:t>Der Beschwerdeführer macht geltend, die Haftbedingungen in den serbi- schen Gefängnissen würden gegen die Menschenrechte verstossen. Im Jahre 2011 sei er im Belgrader Gefängnis "B." inhaftiert gewesen. In dieser Zeit seien ihm diverse Medikamente verabreicht worden, obwohl er gesund gewesen sei. Diese Medikamente hätten aus ihm einen "lebenden Toten" gemacht. Vor der Überführung ins Belgrader Gefängnis habe der Beschwer- deführer mehrere Monate im berüchtigten Gefängnis "C." in Nis verbracht. Dieses Gefängnis sei bekannt für seine gewalttätigen Wärter und Mitinsas- sen. Auch der Beschwerdeführer sei von den Wärtern grundlos geschlagen worden (act. 1).</w:t>
      </w:r>
    </w:p>
    <w:p>
      <w:r>
        <w:rPr>
          <w:b/>
        </w:rPr>
        <w:t>E. 4.2.1</w:t>
      </w:r>
    </w:p>
    <w:p>
      <w:r>
        <w:t>Die Schweiz prüft die Auslieferungsvoraussetzungen des EAUe auch unter dem Blickwinkel ihrer grundrechtlichen völkerrechtlichen Verpflichtungen (vgl. Art. 2 IRSG). Nach internationalem Völkerrecht sind Folter und jede an- dere Art grausamer, unmenschlicher oder erniedrigender Behandlung oder Bestrafung verboten (Art. 10 Abs. 3 BV, Art. 3 EMRK, Art. 7 und 10 Ziff. 1 des internationalen Paktes vom 16. Dezember 1966 über bürgerliche und politische Rechte [UNO-Pakt II; SR 0.103.2]).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ausgelieferten Person muss gewahrt sein (vgl. auch Art. 7, 10 und 17 des UNO-Pakts II). Der im ausländischen Strafverfahren Beschuldigte muss glaubhaft machen, dass er objektiv und ernsthaft eine schwerwiegende Verletzung der Menschenrechte im ersu- chenden Staat zu befürchten hat (BGE 130 II 217 E. 8). Abstrakte Behaup- tungen genügen nicht. Der Beschwerdeführer muss seine Vorbringen im Ein- zelnen präzisieren (Urteil des Bundesgerichts 1A.210/1999 vom 12. Dezem- ber 1999 E. 8b).</w:t>
      </w:r>
    </w:p>
    <w:p>
      <w:r>
        <w:rPr>
          <w:b/>
        </w:rPr>
        <w:t>E. 4.2.2</w:t>
      </w:r>
    </w:p>
    <w:p>
      <w:r>
        <w:t>Die vom Beschwerdeführer behaupteten Misshandlungen, die ihm im Jahre 2011 in serbischen Gefängnissen widerfahren seien, genügen grundsätzlich nicht, damit von allgemeinen und systematischen Misshandlungen in den serbischen Gefängnissen gesprochen werden kann. Hinzu kommt, dass Ser- bien seit 12. März 2001 (in Kraft seit 27. April 1992) Vertragsstaat des UNO- Pakt II, seit 12. März 2001 (Datum der Nachfolgeerklärung; in Kraft seit 27. April 1992) der UNO-Folterschutzkonvention und seit 3. März 2004 der EMRK und des Europäischen Übereinkommens zur Verhütung von Folter und unmenschlicher oder erniedrigender Behandlung oder Strafe (SR 0.106)</w:t>
      </w:r>
    </w:p>
    <w:p>
      <w:r>
        <w:t>ist. Auslieferungen nach Serbien werden denn auch grundsätzlich ohne Ein- holung einer förmlichen Garantieerklärung betreffend die Haftbedingungen bewilligt. So hat insbesondere die Beschwerdekammer in ihrem Entscheid RR.2013.102 vom 18. Juli 2013 festgehalten, dass zufolge des Berichts des Human Rights Committee der UNO aus dem Jahre 2011 in Serbien Fort- schritte bei der Implementierung und Durchsetzung rechtsstaatlicher Garan- tien bestünden. Insbesondere sei positiv vermerkt worden, dass Verletzun- gen von Grundrechten und Menschenrechtsabkommen direkt bei den serbi- schen Gerichten geltend gemacht werden könnten. Die von den Menschen- rechtsorganisationen Amnesty International und Human Rights Watch ge- übte Kritik an Serbien bestehe hauptsächlich darin, dass dieses Land Kriegs- verbrecher nicht konsequent strafrechtlich verfolge, dafür ethnische Minder- heiten, wie Roma, stark diskriminiere (vgl. RR.2013.102 vom 18. Juli 2013, E. 6.4). Aktuell liegen keine Anhaltspunkte für eine massgebliche Ver- schlechterung der Haftbedingungen vor, weshalb keine ernsthaften Gründe für die Annahme bestehen, dass der Beschwerdeführer bei einer Ausliefe- rung dem Risiko einer Art. 3 EMRK verletzenden Behandlung ausgesetzt sein könnte.</w:t>
      </w:r>
    </w:p>
    <w:p>
      <w:r>
        <w:t>Hinzu kommt, dass vorliegend der Beschwerdeführer wegen Diebstahls und Raubes ausgeliefert werden soll. Es handelt sich weder um einen besonders heiklen Fall mit politischer Implikation, noch bestehen Anhaltspunkte dafür, dass der Beschwerdeführer einer ethnischen Minderheit, wie den Roma, an- gehören würde. Ernsthafte Gründe, dass der Beschwerdeführer eine grau- same, unmenschliche oder erniedrigende Behandlung durch die serbischen Strafvollzugsbehörden droht, sind damit weder konkret dargetan noch gene- rell anzunehmen. Die Beschwerde erweist sich damit in diesem Punkt als unbegründet.</w:t>
      </w:r>
    </w:p>
    <w:p>
      <w:r>
        <w:rPr>
          <w:b/>
        </w:rPr>
        <w:t>E. 5</w:t>
      </w:r>
    </w:p>
    <w:p>
      <w:r>
        <w:t>Soweit der Beschwerdeführer sodann geltend macht, er sei bereit, die von den serbischen Gerichten ausgefällten Freiheitsstrafen in der Schweiz zu verbüssen und sich damit sinngemäss auf Art. 37 Abs. 1 IRSG beruft, ist er darauf hinzuweisen, dass eine Ablehnung der Auslieferung gestützt auf Art. 37 Abs. 1 IRSG gemäss ständiger Rechtsprechung gegenüber einem Staat, welcher wie im vorliegenden Fall Vertragspartei des EAUe ist, nicht in Frage kommt (BGE 129 II 100 E. 3.1; 122 II 485 E. 3 S. 486 ff.; vgl. zuletzt u. a. das Urteil des Bundesgerichts 1C_315/2011 vom 1. September 2011, E. 5; siehe auch die Entscheide des Bundesstrafgerichts RR.2011.240 vom 27. Oktober 2011; RR.2011.206 vom 5. Oktober 2011, E. 6).</w:t>
      </w:r>
    </w:p>
    <w:p>
      <w:r>
        <w:rPr>
          <w:b/>
        </w:rPr>
        <w:t>E. 6</w:t>
      </w:r>
    </w:p>
    <w:p>
      <w:r>
        <w:t>Andere Auslieferungshindernisse werden weder geltend gemacht, noch sind solche ersichtlich. Die Beschwerde ist damit als unbegründet und ohne Durchführung eines Schriftenwechsels (Art. 57 Abs. 1 VwVG) abzuweisen.</w:t>
      </w:r>
    </w:p>
    <w:p>
      <w:r>
        <w:rPr>
          <w:b/>
        </w:rPr>
        <w:t>E. 7</w:t>
      </w:r>
    </w:p>
    <w:p>
      <w:r>
        <w:t>Bei diesem Ausgang des Verfahrens sind die Gerichtskosten dem Be- schwerdeführer aufzuerlegen (Art. 63 Abs. 1 VwVG i.V.m. Art. 39 Abs. 2 lit. b StBOG). Der womöglich schwierigen wirtschaftlichen Situation, in der sich der Beschwerdeführer schon aufgrund seiner Inhaftierung befindet, kann mit einer reduzierten Gerichtsgebühr von Fr. 1'500.-- Rechnung getragen wer- den (Art. 63 Abs. 5 VwVG i.V.m. Art. 39 Abs. 2 lit. b StBOG und Art. 73 StBOG sowie Art. 5 und 8 Abs. 3 lit. a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