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RR.2015.259 vom 12. November 2015</w:t>
      </w:r>
    </w:p>
    <w:p>
      <w:r>
        <w:t>Bundesstrafgericht, 2015-11-12, FR</w:t>
      </w:r>
    </w:p>
    <w:p>
      <w:r>
        <w:rPr>
          <w:b/>
        </w:rPr>
        <w:t xml:space="preserve">Quelle: </w:t>
      </w:r>
      <w:r>
        <w:t>https://mcp.opencaselaw.ch/entscheid/bstger_RR.2015.259</w:t>
      </w:r>
    </w:p>
    <w:p>
      <w:r>
        <w:t>FR: TPF RR.2015.259 du 12 novembre 2015</w:t>
      </w:r>
    </w:p>
    <w:p>
      <w:r>
        <w:t>IT: TPF RR.2015.259 del 12 novembre 2015</w:t>
      </w:r>
    </w:p>
    <w:p>
      <w:pPr>
        <w:pStyle w:val="Heading2"/>
      </w:pPr>
      <w:r>
        <w:t>Regeste</w:t>
      </w:r>
    </w:p>
    <w:p>
      <w:r>
        <w:t>Décision d'extradition (art. 55 EIMP) et assistance judiciaire (art. 65 PA).</w:t>
      </w:r>
    </w:p>
    <w:p>
      <w:pPr>
        <w:pStyle w:val="Heading2"/>
      </w:pPr>
      <w:r>
        <w:t>Erwägungen</w:t>
      </w:r>
    </w:p>
    <w:p>
      <w:r>
        <w:rPr>
          <w:b/>
        </w:rPr>
        <w:t>E. 1.1</w:t>
      </w:r>
    </w:p>
    <w:p>
      <w:r>
        <w:t>En vertu de l'art. 37 al. 2 let. a ch. 1 de la loi fédérale sur l'organisation des autorités pénales de la Confédération (LOAP; RS 173.71), mis en relation avec l'art. 55 al. 3 de la loi fédérale sur l'entraide internationale en matière pénale (EIMP; RS 351.1), la Cour des plaintes du Tribunal pénal fédéral est compétente pour connaître des recours dirigés contre les décisions d'extradition.</w:t>
      </w:r>
    </w:p>
    <w:p>
      <w:r>
        <w:rPr>
          <w:b/>
        </w:rPr>
        <w:t>E. 1.2</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Les art. 48 ss de la Convention d’application de l’Accord de Schengen du 14 juin 1985 (CAAS; n° CELEX 42000A0922[02]; Journal officiel de l’Union européenne L 239 du 22 septembre 2000, p. 19-62) s’appliquent également à l’entraide pénale entre la Suisse et le Portugal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140 IV 123 consid. 2; 137 IV 33 consid. 2.2.2; 122 II 140 consid. 2 et les arrêts cités). Le respect des droits fondamentaux est réservé (ATF 135 IV 212 consid. 2.3; 123 II 595 consid. 7c).</w:t>
      </w:r>
    </w:p>
    <w:p>
      <w:r>
        <w:rPr>
          <w:b/>
        </w:rPr>
        <w:t>E. 1.3</w:t>
      </w:r>
    </w:p>
    <w:p>
      <w:r>
        <w:t>Formé dans les 30 jours suivant la notification de la décision d'extradition, par la personne visée par cet acte, le recours est formellement recevable (art. 55 al. 3 EIMP, en lien avec les art. 25 EIMP et 50 al. 1 de la loi fédérale sur la procédure administrative [PA; RS 172.021]).</w:t>
      </w:r>
    </w:p>
    <w:p>
      <w:r>
        <w:rPr>
          <w:b/>
        </w:rPr>
        <w:t>E. 1.4</w:t>
      </w:r>
    </w:p>
    <w:p>
      <w:r>
        <w:t>Il y a par conséquent lieu d'entrer en matière.</w:t>
      </w:r>
    </w:p>
    <w:p>
      <w:r>
        <w:rPr>
          <w:b/>
        </w:rPr>
        <w:t>E. 2</w:t>
      </w:r>
    </w:p>
    <w:p>
      <w:r>
        <w:t>Le recourant fait valoir que son cas serait de peu d’importance et qu’il ne saurait dès lors justifier son extradition.</w:t>
      </w:r>
    </w:p>
    <w:p>
      <w:r>
        <w:t>- 4 -</w:t>
      </w:r>
    </w:p>
    <w:p>
      <w:r>
        <w:rPr>
          <w:b/>
        </w:rPr>
        <w:t>E. 2.1</w:t>
      </w:r>
    </w:p>
    <w:p>
      <w:r>
        <w:t>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d’un maximum d’au moins un an ou d’une peine plus sévère (art. 2 par. 1 CEExtr; art. 35 al. 1 EIMP). Lorsqu’une condamnation à une peine est intervenue ou qu’une mesure de sûreté a été infligée sur le territoire de la Partie requérante, la sanction prononcée devra être d’une durée d’au moins quatre mois (art. 2 par. 1 CEExtr).</w:t>
      </w:r>
    </w:p>
    <w:p>
      <w:r>
        <w:t>Si la demande d’extradition vise plusieurs faits distincts punis chacun par la loi de la Partie requérante et de la Partie requise d’une peine privative de liberté ou d’une mesure de sûreté privative de liberté, mais dont certains ne remplissent pas la condition relative au taux de la peine, la Partie requise aura la faculté d’accorder également l’extradition pour ces derniers (art. 2 par. 2 CEExtr). Par ailleurs, le deuxième protocole additionnel à la CEExtr entré en vigueur en 1985 prévoit, pour l’art. 2 par. 2 CEExtr, que cette faculté sera également applicable à des faits qui ne sont passibles que d’une sanction de nature pécuniaire (art. 1 deuxième protocole). Ainsi que l’indique le rapport explicatif de la CEExtr, il s’agit là d’une extradition accessoire qui pourra être accordée pour un fait de moindre importance sans violer par là même la règle de la spécialité. A cet égard, la Suisse avait émis une telle réserve en 1967 lors de l’entrée en vigueur de la CEExtr et déclaré que, si une extradition est ou a été accordée pour une infraction à raison de laquelle l’extradition est autorisée par le droit suisse, la Suisse peut en étendre les effets à tout autre fait punissable selon une disposition de droit commun de la législation suisse (réserve de la Suisse à l’art. 2 par. 2 CEExtr). En définitive, la Suisse a la faculté d’accorder l’extradition pour des faits passibles d’une peine pécuniaire ou d’une privation de liberté inférieure à un an, lorsque l’extradition est par ailleurs fondée s’agissant de faits remplissant la condition relative au taux de la peine (cf. ég. arrêt du Tribunal pénal fédéral RR.2008.257 du 4 décembre 2008, consid. 4.3).</w:t>
      </w:r>
    </w:p>
    <w:p>
      <w:r>
        <w:rPr>
          <w:b/>
        </w:rPr>
        <w:t>E. 2.2</w:t>
      </w:r>
    </w:p>
    <w:p>
      <w:r>
        <w:t>En l’espèce, d’après la sentence pénale prononcée à l'encontre du recourant le 5 mars 2013 par la première section criminelle de l'Instance centrale de Z., ce dernier a été condamné pour avoir pénétré – par la fenêtre de la cuisine –, durant l'après-midi du 19 mars 2012, dans l'appartement de la dénommée B., et avoir volé un téléviseur LCD de marque Philips, "d'une valeur non déterminée mais qui n'était pas inférieure à 200 €" (jugement, p. 2). La condamnation repose sur un second épisode, soit celui au cours duquel le recourant s'est introduit dans un établissement scolaire de la</w:t>
      </w:r>
    </w:p>
    <w:p>
      <w:r>
        <w:t>- 5 -</w:t>
      </w:r>
    </w:p>
    <w:p>
      <w:r>
        <w:t>municipalité de Y. et y a dérobé deux appareils photographiques, dont l'un d'une valeur de 110 € (ibidem).</w:t>
      </w:r>
    </w:p>
    <w:p>
      <w:r>
        <w:rPr>
          <w:b/>
        </w:rPr>
        <w:t>E. 2.2.1</w:t>
      </w:r>
    </w:p>
    <w:p>
      <w:r>
        <w:t>Le recourant a été condamné à une peine de deux ans et huit mois. La condition de l’art. 2 par. 1 CEExtr est ainsi remplie s’agissant de l’Etat requérant.</w:t>
      </w:r>
    </w:p>
    <w:p>
      <w:r>
        <w:rPr>
          <w:b/>
        </w:rPr>
        <w:t>E. 2.2.2</w:t>
      </w:r>
    </w:p>
    <w:p>
      <w:r>
        <w:t>S’agissant de la qualification des faits selon le droit suisse, l’OFJ a retenu le vol (art. 139 CP) et la violation de domicile (art. 186 CP), infractions connaissant toutes des peines maximales d’un an au moins.</w:t>
      </w:r>
    </w:p>
    <w:p>
      <w:r>
        <w:t>Si l’acte ne vise qu’un élément patrimonial de faible valeur ou un dommage de moindre importance, l’auteur sera, sur plainte, puni d’une amende (art. 172ter al. 1 CP). Cette disposition s'applique à toutes les infractions contre le patrimoine (BERNARD CORBOZ, Les infractions en droit suisse, 3e éd. 2010, no 1 ad art. 172ter), soit notamment pour le vol. Elle ne trouve en revanche pas à s’appliquer s’agissant de la violation de domicile (art. 186 CP), disposition protégeant la liberté. Dès lors que cette dernière infraction remplit les exigences de l’art. 2 par. 1 CEExtr, l’extradition peut être accordée pour l’ensemble des infractions retenues (v. supra consid. 2.1; arrêt du Tribunal pénal fédéral RR.2009.327 du 25 novembre 2009, consid. 2.2.2).</w:t>
      </w:r>
    </w:p>
    <w:p>
      <w:r>
        <w:t>La condition de la double incrimination de l’art. 2 par. 1 CEExtr est ainsi remplie; le grief tiré de son absence est mal fondé et doit être rejeté.</w:t>
      </w:r>
    </w:p>
    <w:p>
      <w:r>
        <w:rPr>
          <w:b/>
        </w:rPr>
        <w:t>E. 3</w:t>
      </w:r>
    </w:p>
    <w:p>
      <w:r>
        <w:t>Le recourant se prévaut encore de l'art. 37 al. 1 EIMP, aux termes duquel "l’extradition peut être refusée si la Suisse est en mesure d’assumer la poursuite de l’infraction ou l’exécution du jugement rendu dans l’Etat requérant et que le reclassement social de la personne poursuivie le justifie". Ce faisant, il omet que, selon la jurisprudence constante, cette disposition n'est pas applicable à l'égard d'un Etat qui, comme le Portugal, est lié avec la Suisse par une convention d'extradition. La Convention ne contient pas de règle analogue à l'art. 37 EIMP et interdit par conséquent à la Suisse de refuser l'extradition pour des motifs tenant au reclassement de la personne poursuivie (ATF 122 II 485 consid. 3). Supposé applicable, l'art. 37 al. 1 EIMP ne serait d'ailleurs d'aucun secours pour le recourant. La Suisse doit en effet, selon cette disposition, être en mesure d'assumer l'exécution du jugement, ce qui suppose que l'Etat du lieu de commission de l'infraction demande expressément à la Suisse de procéder à sa place (ATF 129 II 100 consid. 3.1; 120 Ib 120 consid. 3c; 117 Ib 210 consid. 3b/cc). Or les autorités portugaises, en optant pour l'extradition, ont clairement exprimé qu'elles n'entendaient pas se dessaisir de l'exécution du jugement définitif visant le</w:t>
      </w:r>
    </w:p>
    <w:p>
      <w:r>
        <w:t>- 6 -</w:t>
      </w:r>
    </w:p>
    <w:p>
      <w:r>
        <w:t>recourant (v. arrêt du Tribunal fédéral RR.2015.1 du 12 mars 2015, consid. 4.1).</w:t>
      </w:r>
    </w:p>
    <w:p>
      <w:r>
        <w:t>Privé de fondement, le grief tiré de la soi-disant violation de l'art. 37 al. 1 EIMP doit être rejeté.</w:t>
      </w:r>
    </w:p>
    <w:p>
      <w:r>
        <w:rPr>
          <w:b/>
        </w:rPr>
        <w:t>E. 4</w:t>
      </w:r>
    </w:p>
    <w:p>
      <w:r>
        <w:t>Les considérants qui précèdent conduisent au rejet du recours, et par voie de conséquence, à celui de la demande de mise en liberté formée par le recourant, lequel sera maintenu en détention extraditionnelle. En effet, il convient de préciser que, selon la jurisprudence constante, en matière d’extradition, la détention est la règle, tandis que la mise en liberté demeure l’exception (ATF 130 II 306 consid. 2.2) et le recourant ne fait pas valoir de motifs particuliers justifiant son élargissement, motifs qui n’apparaissent au demeurant pas sans autre.</w:t>
      </w:r>
    </w:p>
    <w:p>
      <w:r>
        <w:rPr>
          <w:b/>
        </w:rPr>
        <w:t>E. 5</w:t>
      </w:r>
    </w:p>
    <w:p>
      <w:r>
        <w:t>et 8 al. 3 du règlement du Tribunal pénal fédéral sur les frais, émoluments, dépens et indemnités de la procédure pénale fédérale du 31 août 2010 [RFPPF; RS 173.713.162] et art. 63 al. 5 PA). Le recourant supportera ainsi les frais du présent arrêt qui, au vu de sa situation financière, seront fixés à CHF 200.--.</w:t>
      </w:r>
    </w:p>
    <w:p>
      <w:r>
        <w:t>- 7 -</w:t>
      </w:r>
    </w:p>
    <w:p>
      <w:r>
        <w:rPr>
          <w:b/>
        </w:rPr>
        <w:t>E. 5.1</w:t>
      </w:r>
    </w:p>
    <w:p>
      <w:r>
        <w:t>S'agissant de la première condition, force est d'admettre que les documents produits par le recourant permettent d'attester son indigence.</w:t>
      </w:r>
    </w:p>
    <w:p>
      <w:r>
        <w:rPr>
          <w:b/>
        </w:rPr>
        <w:t>E. 5.2</w:t>
      </w:r>
    </w:p>
    <w:p>
      <w:r>
        <w:t>Concernant en revanche la seconde condition, soit le fait que les conclusions prises sur le fond ne soient pas vouées à l'échec, elle n'est pas remplie en l'espèce. Les motifs avancés à l'appui du recours se sont en effet avérés infondés eu égard aux principes légaux et jurisprudentiels bien établis applicables en la matière. L'assistance judiciaire doit partant être refusée, sous réserve des considérations figurant ci-dessous (v. infra consid. 5.4).</w:t>
      </w:r>
    </w:p>
    <w:p>
      <w:r>
        <w:rPr>
          <w:b/>
        </w:rPr>
        <w:t>E. 5.3</w:t>
      </w:r>
    </w:p>
    <w:p>
      <w:r>
        <w:t>Il s'ensuit que les frais de procédure comprenant l'émolument d'arrêté, les émoluments de chancellerie et les débours seront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5.4</w:t>
      </w:r>
    </w:p>
    <w:p>
      <w:r>
        <w:t>Quant à la défense d'office octroyée par la direction de la procédure, on rappellera qu'elle a fait l'objet d'une décision incidente motivée par le fait que le recourant, bien que détenu à titre extraditionnel, n'avait pas bénéficié de l'assistance d'un avocat devant l'OFJ et que pareille omission devait être réparée au cours de la présente procédure (v. supra let. E). C'est la raison pour laquelle un mandataire d'office a exceptionnellement été désigné au recourant avant même le dépôt d'un recours motivé.</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En l'espèce, Me Ribordy a déposé, avec sa première écriture, une note d'honoraire d'un montant de CHF 1'357,70. Sur la base de cette note, et compte tenu de l'échange d'écritures intervenu après le dépôt du recours, de l’ampleur et la difficulté de la cause et dans les limites du RFPPF, une indemnité ex bono et aequo d’un montant de CHF 1'700.--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