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RR.2015.254 vom 20. Januar 2016</w:t>
      </w:r>
    </w:p>
    <w:p>
      <w:r>
        <w:t>Bundesstrafgericht, 2016-01-20, FR</w:t>
      </w:r>
    </w:p>
    <w:p>
      <w:r>
        <w:rPr>
          <w:b/>
        </w:rPr>
        <w:t xml:space="preserve">Quelle: </w:t>
      </w:r>
      <w:r>
        <w:t>https://mcp.opencaselaw.ch/entscheid/bstger_RR.2015.254</w:t>
      </w:r>
    </w:p>
    <w:p>
      <w:r>
        <w:t>FR: TPF RR.2015.254 du 20 janvier 2016</w:t>
      </w:r>
    </w:p>
    <w:p>
      <w:r>
        <w:t>IT: TPF RR.2015.254 del 20 gennaio 2016</w:t>
      </w:r>
    </w:p>
    <w:p>
      <w:pPr>
        <w:pStyle w:val="Heading2"/>
      </w:pPr>
      <w:r>
        <w:t>Regeste</w:t>
      </w:r>
    </w:p>
    <w:p>
      <w:r>
        <w:t>Entraide judiciaire internationale en matière pénale à la Géorgie. Remise de moyens de preuve (art. 74 EIMP).</w:t>
      </w:r>
    </w:p>
    <w:p>
      <w:pPr>
        <w:pStyle w:val="Heading2"/>
      </w:pPr>
      <w:r>
        <w:t>Erwägungen</w:t>
      </w:r>
    </w:p>
    <w:p>
      <w:r>
        <w:rPr>
          <w:b/>
        </w:rPr>
        <w:t>E. 1</w:t>
      </w:r>
    </w:p>
    <w:p>
      <w:r>
        <w:t>L’entraide judiciaire entre la Confédération suisse et la Géorgie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w:t>
      </w:r>
    </w:p>
    <w:p>
      <w:r>
        <w:t>- 4 -</w:t>
      </w:r>
    </w:p>
    <w:p>
      <w:r>
        <w:t>1er septembre 2004 pour la Géorgie. Les dispositions de ces traités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3</w:t>
      </w:r>
    </w:p>
    <w:p>
      <w:r>
        <w:t>Formé le lundi 7 septembre 2015 contre une décision notifiée au plus tôt le</w:t>
      </w:r>
    </w:p>
    <w:p>
      <w:r>
        <w:rPr>
          <w:b/>
        </w:rPr>
        <w:t>E. 7</w:t>
      </w:r>
    </w:p>
    <w:p>
      <w:r>
        <w:t>juillet 2010, consid. 2.2). Dans un arrêt du 11 février 2005, le Tribunal fédéral a en outre reconnu à un recourant la qualité pour agir contre la</w:t>
      </w:r>
    </w:p>
    <w:p>
      <w:r>
        <w:t>- 6 -</w:t>
      </w:r>
    </w:p>
    <w:p>
      <w:r>
        <w:t>transmission d'un rapport intermédiaire de la police judiciaire fédérale mentionnant les avoirs du recourant et contenant un résumé de ses différentes déclarations (arrêt du Tribunal fédéral 1A.268/2004 du 11 février 2005, consid. 2.2; v. également arrêt du Tribunal fédéral 1A.133/2000 du 24 juin 2000, consid. 1b in fine; arrêts du Tribunal pénal fédéral RR.2014.103 du 9 octobre 2014, consid. 1.5.1; RR.2013.3 du 22 mars 2013, consid. 2.3; RR.2012.206 du 19 décembre 2012, consid. 2.3; RR.2010.60 du 8 juillet 2010, consid. 1.3.2/a). 5.3 En l'espèce, vu la nature des documents récoltés dans la procédure pénale suisse, leur transmission à l'autorité requérante emporterait remise de documentation bancaire, de sorte que A. Ltd a qualité pour recourir à leur égard.</w:t>
      </w:r>
    </w:p>
    <w:p>
      <w:r>
        <w:t>6.</w:t>
      </w:r>
    </w:p>
    <w:p>
      <w:r>
        <w:t>6.1 Dans une première série de griefs, la recourante se plaint d'une violation de l'art. 2 let. a et b EIMP, en lien avec son droit d'être entendue. Elle soutient que si B. était jugé dans l'Etat requérant, il ne pourrait en aucun cas bénéficier d'un procès équitable et que les poursuites menées contre le prénommé dans ce pays sont motivées par des considérations d'ordre politique. Sur ce dernier point, elle reproche au MPC de ne pas lui avoir communiqué les sources utilisées par le DFAE pour rédiger son rapport du 15 avril 2015, respectivement de ne pas avoir demandé au département en question de réexaminer la situation à la lumière de documents qu'elle a produits après la date précitée.</w:t>
      </w:r>
    </w:p>
    <w:p>
      <w:r>
        <w:t>6.2 Aux termes de l'art. 2 EIMP, la demande d'entraide est irrecevable, entre autres, s'il y a lieu d'admettre que la procédure à l'étranger n'est pas conforme aux principes de procédure fixés par le CEDH ou le Pacte ONU II (let. a) ou tend à poursuivre, notamment, une personne en raison de ses opinions politiques (let. b).</w:t>
      </w:r>
    </w:p>
    <w:p>
      <w:r>
        <w:t>6.3 Une personne morale ne peut pas se prévaloir d'une violation de l'art. 2 EIMP. Ce principe, qui découle d'une jurisprudence constante (cf. notamment ATF 131 II 228, consid. 1; 130 II 217, consid. 8.2; 126 II 258, consid. 2d/aa), ne saurait être remis en question par les considérants de l'affaire Yukos (arrêt 1A.15/2007 du 13 août 2007) à laquelle se réfère le recourant. Il est vrai que dans celle-ci, le Tribunal fédéral a affirmé qu'une personne morale peut se prévaloir de la nature, notamment politique, de la procédure dans l'Etat requérant (consid. 2.1). La Haute Cour n'a toutefois aucunement motivé sa décision à cet égard, notamment dans le sens d'un revirement de jurisprudence sur cette question. Il s'agit-là d'un arrêt isolé, non publié, qui se rapporte à un état de fait bien particulier – notablement</w:t>
      </w:r>
    </w:p>
    <w:p>
      <w:r>
        <w:t>- 7 -</w:t>
      </w:r>
    </w:p>
    <w:p>
      <w:r>
        <w:t>éloigné de celui du cas d'espèce –, et dont la portée a été relativisée par la suite (arrêt du Tribunal fédéral 1C_505/2015 du 8 décembre 2015, consid. 2.2.1). Il s'ensuit que la recourante n'est pas habilitée à soulever ce grief.</w:t>
      </w:r>
    </w:p>
    <w:p>
      <w:r>
        <w:rPr>
          <w:b/>
        </w:rPr>
        <w:t>E. 7.1</w:t>
      </w:r>
    </w:p>
    <w:p>
      <w:r>
        <w:t>La recourante se plaint ensuite, en substance, d'une violation de l'art. 28 EIMP, ainsi que des principes de la double incrimination et de la proportionnalité. Elle soutient que la demande d'entraide présente des lacunes graves et intentionnelles, destinées à occulter le fait que l'application desdits principes empêche en l'occurrence l'octroi de l'entraide.</w:t>
      </w:r>
    </w:p>
    <w:p>
      <w:r>
        <w:rPr>
          <w:b/>
        </w:rPr>
        <w:t>E. 7.2.1</w:t>
      </w:r>
    </w:p>
    <w:p>
      <w:r>
        <w:t>Selon l'art. 28 EIMP – qui pose en la matière des exigences équivalentes à celles de l'art. 14 CEEJ –,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rPr>
          <w:b/>
        </w:rPr>
        <w:t>E. 7.2.2</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L'art. 6 de la convention pose la même exigence. L'examen de la punissabilité selon le droit suisse comprend les éléments constitutifs objectifs de l'infraction, à</w:t>
      </w:r>
    </w:p>
    <w:p>
      <w:r>
        <w:t>- 8 -</w:t>
      </w:r>
    </w:p>
    <w:p>
      <w:r>
        <w:t>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(cf.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7.2.3</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w:t>
      </w:r>
    </w:p>
    <w:p>
      <w:r>
        <w:t>- 9 -</w:t>
      </w:r>
    </w:p>
    <w:p>
      <w:r>
        <w:t>relativement étendue (ATF 121 II 241 consid. 3c).</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p. 748 ss).</w:t>
      </w:r>
    </w:p>
    <w:p>
      <w:r>
        <w:rPr>
          <w:b/>
        </w:rPr>
        <w:t>E. 7.3</w:t>
      </w:r>
    </w:p>
    <w:p>
      <w:r>
        <w:t>Les autorités géorgiennes ont indiqué qu'elles soupçonnaient B. d'avoir poussé un entrepreneur géorgien, par des manœuvres d'intimidation, à lui céder gratuitement les parts majoritaires que celui-ci détenait dans A. Ltd. Un tel comportement est a priori susceptible de tomber sous le coup de l'art. 156 CP (extorsion et chantage), qui punit à son alinéa 1 d'une peine privative de liberté de cinq ans au plus ou d'une peine pécuniaire celui qui, dans le dessein de se procurer ou de procurer à un tiers un enrichissement illégitime, aura déterminé une personne à des actes préjudiciables à ses intérêts pécuniaires ou à ceux d'un tiers, en usant de violence ou en la menaçant d'un dommage sérieux. Aussi, l'argumentation de la recourante, en tant qu'elle se rapporte à l'absence de double incrimination, est-elle mal fondée. La recourante échoue à démontrer que les indications fournies par l'Etat requérant sont entachées d'erreurs ou de contradictions manifestes, immédiatement établies. Certes, les pièces figurant au dossier tendent à démontrer que les fonctions officielles occupées par B. en Géorgie ont pris fin dans le courant de l'année 2008 et il est vraisemblable, au vu les documents invoqués, que le transfert des parts litigieuses dans A. Ltd entre</w:t>
      </w:r>
    </w:p>
    <w:p>
      <w:r>
        <w:t>- 10 -</w:t>
      </w:r>
    </w:p>
    <w:p>
      <w:r>
        <w:t>le prénommé et sa victime présumée a été opéré en octobre 2010. En revanche, dès lors qu'il n'est pas nécessaire d'occuper une fonction étatique pour exercer des pressions sur un tiers, on ne saurait suivre la recourante lorsqu'elle déduit de ces éléments factuels que B. n'a pas pu commettre les actes qui lui sont reprochés. Les pièces figurant au dossier montrent d'ailleurs que l'enquête menée dans l'Etat requérant ne se focalise pas sur des agissements qu'aurait commis l'intéressé dans un tel contexte: les autorités géorgiennes ont fait état, dans leur demande d'extradition au Royaume-Uni, de menaces d'actes de violence proférées en 2010 (act. 1.14, p. 2 in initio) et on constate, à la lecture de la disposition pénale réprimant l'extorsion en Géorgie, dont une copie a été jointe à la demande d'entraide, que celle-ci peut être commise par tout un chacun. Quant au fait que la personne désignée comme la victime de B. aurait continué à disposer, après octobre 2010, d'une signature sur le compte objet de la demande, il n'est quoi qu'en pense la recourante pas suffisant en soi pour établir que la transaction effectuée pendant le mois en question était librement consentie. Enfin, la recourante ne parvient pas démontrer que A. Ltd aurait versé USD 6 mio – correspondant au prix de vente convenu pour la cession des parts de cette entité – à l'entrepreneur mentionné dans ladite demande, respectivement plus de USD 2 mio à une entreprise détenue par ce dernier. Il s'ensuit que le grief tiré d'une violation de l'art. 28 EIMP est également mal fondé.</w:t>
      </w:r>
    </w:p>
    <w:p>
      <w:r>
        <w:t>Pour finir, il découle du schéma délictueux décrit par l'autorité requérante que la prise de contrôle par B. de A. Ltd, respectivement des actifs détenus par celle-ci, et en particulier de l'argent figurant sur le compte litigieux, est le fruit d'une infraction. D'éventuels transferts de fonds entre la relation bancaire en question et des comptes détenus directement ou indirectement par le prénommé – dont l'existence sera le cas échéant révélée par l'analyse de la documentation bancaire litigieuse – est donc susceptible de constituer une légalisation de profits illicites, cette infraction géorgienne correspondant selon les documents fournis par le parquet au blanchiment d'argent réprimé par l'art. 305bis CP. Aussi, la transmission de la documentation objet de la décision entreprise se justifie-t-elle au regard du principe de l'utilité potentielle. Cela vaut d'autant qu'elle permettra d'établir si des transactions de ce genre sont survenues avant 2010 et, partant, de déterminer si des actes d'extorsion, antérieurs à ceux sur lesquels porte aujourd'hui l'enquête, ont été commis.</w:t>
      </w:r>
    </w:p>
    <w:p>
      <w:r>
        <w:t>La dernière série de griefs soulevée dans le recours est ainsi mal fondée.</w:t>
      </w:r>
    </w:p>
    <w:p>
      <w:r>
        <w:rPr>
          <w:b/>
        </w:rPr>
        <w:t>E. 8</w:t>
      </w:r>
    </w:p>
    <w:p>
      <w:r>
        <w:t>Dans ses écritures des 12 et 20 janvier 2016, la recourante demande à la Cour de céans d'ordonner un échange d'écritures portant sur les</w:t>
      </w:r>
    </w:p>
    <w:p>
      <w:r>
        <w:t>- 11 -</w:t>
      </w:r>
    </w:p>
    <w:p>
      <w:r>
        <w:t>conséquences, pour la présente procédure, du retrait en Géorgie de l'action civile ouverte par les personnes qui auraient été victimes des agissements de B. Dès lors que cet élément nouveau n'entraîne a priori pas forcément l'abandon de la procédure ouverte contre l'intéressé et que la demande d'entraide n'a pas été retirée, il n'y a pas lieu de donner suite à une telle requête.</w:t>
      </w:r>
    </w:p>
    <w:p>
      <w:r>
        <w:rPr>
          <w:b/>
        </w:rPr>
        <w:t>E. 9</w:t>
      </w:r>
    </w:p>
    <w:p>
      <w:r>
        <w:t>Compte tenu de ce qui précède, le recours est mal fondé dans la mesure où il est recevable.</w:t>
      </w:r>
    </w:p>
    <w:p>
      <w:r>
        <w:rPr>
          <w:b/>
        </w:rPr>
        <w:t>E. 10</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 solidairement – les frais du présent arrêt, fixés à CHF 5'000.-- (art. 73 al. 2 LOAP et art. 8 al. 3 du règlement du Tribunal pénal fédéral sur les frais, émoluments, dépens, et indemnités de la procédure pénale fédérale du 31 août 2010 [RFPPF; RS 173.713.162] et art. 63 al. 5 PA), couverts par l'avance de frais effectuée.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