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RR.2015.250 vom 22. Dezember 2015</w:t>
      </w:r>
    </w:p>
    <w:p>
      <w:r>
        <w:t>Bundesstrafgericht, 2015-12-22, IT</w:t>
      </w:r>
    </w:p>
    <w:p>
      <w:r>
        <w:rPr>
          <w:b/>
        </w:rPr>
        <w:t xml:space="preserve">Quelle: </w:t>
      </w:r>
      <w:r>
        <w:t>https://mcp.opencaselaw.ch/entscheid/bstger_RR.2015.250</w:t>
      </w:r>
    </w:p>
    <w:p>
      <w:r>
        <w:t>FR: TPF RR.2015.250 du 22 décembre 2015</w:t>
      </w:r>
    </w:p>
    <w:p>
      <w:r>
        <w:t>IT: TPF RR.2015.250 del 22 dicembre 2015</w:t>
      </w:r>
    </w:p>
    <w:p>
      <w:pPr>
        <w:pStyle w:val="Heading2"/>
      </w:pPr>
      <w:r>
        <w:t>Regeste</w:t>
      </w:r>
    </w:p>
    <w:p>
      <w:r>
        <w:t>Assistenza giudiziaria internazionale in materia penale alla Romania.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Romania e la Confe- derazione Svizzera sono anzitutto retti dalla Convenzione europea di assi- stenza giudiziaria in materia penale del 20 aprile 1959, entrata in vigore il 20 marzo 1967 per la Svizzera e il 15 giugno 1999 per la Romania (CEAG; RS 0.351.1), così come dal secondo Protocollo addizionale dell'8 novembre 2001 alla CEAG (PA II CEAG; RS 0.351.12), entrato in vigore per la Svizzera il 1° febbraio 2005 e per la Romania il 1° marzo 2005. L'Accordo di cooperazione fra la Confederazione Svizzera, da un lato, e la Comunità europea e i suoi Stati membri dall'altro, per lottare contro la frode e ogni altra attività illecita che leda i loro interessi, concluso il 26 ottobre 2004 (AAF; RS 0.351.926.81), è applica- bile in via transitoria, in attesa della ratifica da parte di tutti gli Stati membri. Mediante una dichiarazione delle parti contraenti prevista dall'articolo 44 para- grafo 3, una parte contraente può applicare in ogni momento l'accordo con ogni altra parte contraente che abbia fatto la stessa dichiarazione. Pertanto, poiché</w:t>
      </w:r>
    </w:p>
    <w:p>
      <w:r>
        <w:t>- 4 -</w:t>
      </w:r>
    </w:p>
    <w:p>
      <w:r>
        <w:t>la Romania e la Svizzera hanno fatto una dichiarazione di questo genere, l'ac- cordo è applicabile bilateralmente dall'8 aprile 2009. Di rilievo nella presente fattispecie è altresì la Convenzione sul riciclaggio, la ricerca, il sequestro e la confisca dei proventi di reato, conclusa a Strasburgo l’8 novembre 1990, entrata in vigore il 1° settembre 1993 per la Svizzera ed il 1° dicembre 2002 per la Romania (CRic; RS. 0.311.53).</w:t>
      </w:r>
    </w:p>
    <w:p>
      <w:r>
        <w:t>Alle questioni che il prevalente diritto internazionale contenuto in detti trattati non regola espressamente o implicitamente, come pure quando il diritto nazio- nale sia più favorevole all'assistenza rispetto a quello convenzionale (cosiddetto principio di favore), si applica la legge federale sull'assistenza internazionale in materia penale (AIMP; RS 351.1),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di diritto internazionale (v. art. 39 n. 3 CRic; art. 26 n. 3 CEAG; art. 25 cpv. 2 AAF). È fatto salvo il rispetto dei diritti fondamentali (DTF 135 IV 212 consid. 2.3; 123 II 595 consid. 7c; TPF 2008 24 consid. 1.1).</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2.1</w:t>
      </w:r>
    </w:p>
    <w:p>
      <w:r>
        <w:t>Interposto tempestivamente contro la sopraccitata decisione di chiusura dell'au- torità cantonale d'esecuzione, il ricorso è ricevibile sotto il profilo degli art. 25 cpv. 1, 80e cpv. 1 e 80k AIMP.</w:t>
      </w:r>
    </w:p>
    <w:p>
      <w:r>
        <w:rPr>
          <w:b/>
        </w:rPr>
        <w:t>E. 2.2</w:t>
      </w:r>
    </w:p>
    <w:p>
      <w:r>
        <w:t>La ricevibilità del gravame presuppone anche la legittimazione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 informazioni su un conto bancario è considerato personalmente e</w:t>
      </w:r>
    </w:p>
    <w:p>
      <w:r>
        <w:t>- 5 -</w:t>
      </w:r>
    </w:p>
    <w:p>
      <w:r>
        <w:t>direttamente toccato il titolare del conto (v. art. 9a lett. b OAIMP), mentre l’inte- ressato toccato solo in maniera indiretta, come ad esempio il mero avente diritto economico di un conto bancario, non può impugnare tali provvedimenti (DTF 139 II 404 consid. 2.1.1; 122 II 130 consid. 2b; TPF 2008 172 consid. 1.3). Ec- 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 pag. 790 e segg.; 1A.131/1999 del 26 agosto 1999, consid. 3). Egli deve inoltre di- 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consid. 1.2.1; RR.2012.252 del 7 giugno 2013, consid. 2.2.1) e quindi non semplice- mente di un suo conto bancario (TPF 2009 183 consid. 2.2.2).</w:t>
      </w:r>
    </w:p>
    <w:p>
      <w:r>
        <w:rPr>
          <w:b/>
        </w:rPr>
        <w:t>E. 2.3</w:t>
      </w:r>
    </w:p>
    <w:p>
      <w:r>
        <w:t>In specie, le procure agli atti in favore dell'avv. Elio Brunetti sono firmate da B. per entrambi i ricorrenti (v. act. 1.4 e 1.5).</w:t>
      </w:r>
    </w:p>
    <w:p>
      <w:r>
        <w:t>Per quanto concerne la A. Ltd, si rileva che questa risulta essere la titolare delle relazioni bancarie n. 3 presso la banca G. e n. 4 presso la I. AG (v. atti 7 e 10 incarto MP/TI). B., quale direttore della stessa, è legittimato a rappresentare la società (v. act. 6.1 e 6.2 art. 16 e segg.). La legittimazione della A. Ltd risulta dunque essere pacifica.</w:t>
      </w:r>
    </w:p>
    <w:p>
      <w:r>
        <w:t>Riguardo alla F. Co. si osserva che la società è stata sciolta in data 8 maggio 2015 (v. act. 1.2) e cancellata dal registro di commercio il 20 maggio 2015 (v. act. 1.3). B., quale avente diritto economico della società, ritiene di essere legit- timato a impugnare la decisione di chiusura del Ministero pubblico ticinese del 12 agosto 2015 (v. atto 21 incarto MP/TI). Come esposto sopra, l'avente diritto economico è legittimato a rappresentare una società disciolta quando questi dimostra la liquidazione della società e prova di essere il beneficiario dello scio- glimento della società in quanto tale. Nella fattispecie in esame è sì provato che la società è stata sciolta (v. act. 1.2 e 1.3), nei documenti non compare però da nessuna parte il nome di B. Nonostante il legale dei ricorrenti fosse a cono- scenza della summenzionata giurisprudenza, esplicitamente citata nel proprio ricorso (v. act. 1 pag. 2), non figura nel fascicolo processuale nessun elemento atto a dimostrare che il predetto sia il beneficiario dello scioglimento della so- cietà in questione.</w:t>
      </w:r>
    </w:p>
    <w:p>
      <w:r>
        <w:t>La legittimazione ricorsuale va pertanto riconosciuta unicamente alla A. Ltd. il cui ricorso è quindi ammissibile, contrariamente a quello di B.</w:t>
      </w:r>
    </w:p>
    <w:p>
      <w:r>
        <w:t>- 6 -</w:t>
      </w:r>
    </w:p>
    <w:p>
      <w:r>
        <w:rPr>
          <w:b/>
        </w:rPr>
        <w:t>E. 3</w:t>
      </w:r>
    </w:p>
    <w:p>
      <w:r>
        <w:t>La ricorrente si duole in primo luogo del fatto che la domanda di assistenza rumena sarebbe di dubbia ricevibilità siccome lacunosa e generica. L'esposto fattuale ometterebbe in sostanza di indicare quali società estere sarebbero coin- volte e come i pretesi atti avrebbero avuto luogo.</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 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117 Ib 64 consid. 5c, con giurisprudenza citata). Lo Stato richiedente non deve provare la com- 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3.2</w:t>
      </w:r>
    </w:p>
    <w:p>
      <w:r>
        <w:t>La richiesta di assistenza dell'autorità rumena indica con sufficiente chiarezza i motivi alla base della stessa. Le autorità inquirenti rumene hanno evidenziato come la A. Ltd. si collochi in stretta relazione con i fatti oggetto del procedimento penale rumeno, già per il fatto che i documenti costitutivi e i timbri di diverse società tra cui quelli della A. Ltd sono stati trovati in occasione delle perquisi- zioni domiciliari presso la sede della D. Srl. amministrata dall'imputato. Que- st'ultimo avrebbe avuto, direttamente o tramite interposte persone, un ruolo nell'amministrazione di queste società (v. rogatoria del 7 agosto 2014, pag. 2 [atto 1 incarto MP/TI] e decreto penale n. 191/C/P/03.07.2014 pag. 5 e segg. [ibidem]). In particolare, le autorità rumene sospettano che l'imputato abbia uti- lizzato queste società per operazioni fittizie atte all'ottenimento di indebiti rim- borsi d'IVA. Vi è quindi un legame indiziario che permette di collegare la A. Ltd. alle attività sospette dell'imputato. Il decreto penale n. 191/C/P/03.07.2014 evi- denzia che dopo l'esame della documentazione processuale "il giudice constata</w:t>
      </w:r>
    </w:p>
    <w:p>
      <w:r>
        <w:t>- 7 -</w:t>
      </w:r>
    </w:p>
    <w:p>
      <w:r>
        <w:t>l'esistenza di indizi ben fondati riguardanti il sospetto ragionevole al reato sopra menzionato" e autorizza la richiesta di assistenza giudiziaria per quanto attiene a svariate relazioni bancarie, tra queste, anche quelle della A. Ltd. (v. pag. 5 e segg.). L'affermazione della ricorrente, secondo la quale da questo decreto non risulterebbe alcun legame tra la A. Ltd. e il procedimento penale rumeno, è quindi priva di fondamento.</w:t>
      </w:r>
    </w:p>
    <w:p>
      <w:r>
        <w:t>Visto quanto precede e alla luce dei sopraccitati principi giurisprudenziali, l'e- sposto dei fatti contenuto nella rogatoria in esame adempie chiaramente le esi- genze legali richieste. Per questi motivi, la relativa censura della ricorrente non può trovare accoglimento.</w:t>
      </w:r>
    </w:p>
    <w:p>
      <w:r>
        <w:rPr>
          <w:b/>
        </w:rPr>
        <w:t>E. 4</w:t>
      </w:r>
    </w:p>
    <w:p>
      <w:r>
        <w:t>Nel prosieguo della sua impugnativa la ricorrente sostiene che la domanda delle autorità rumene è irricevibile in quanto volta al perseguimento di reati fiscali, per i quali la Svizzera non fornisce assistenza, e mancherebbe perciò del requisito della doppia punibilità.</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Nel diritto interno, tale principio è espresso all'art. 64 cpv. 1 AIMP. Nell'ambito dell'e- same della doppia punibilità, l'autorità non si scosta dall'esposto dei fatti conte- nuto nella domanda, fatti salvi gli errori, le lacune o altre contraddizioni evidenti ed immediatamente rilevati (DTF 132 II 81 consid. 2.1; 118 Ib 111 consid. 5b pag. 121 e seg.).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 minata senza tener conto delle particolari forme di colpa e condizioni di punibi- lità da questo previste (DTF 124 II 184 consid. 4b/cc pag. 188; 118 Ib 543 con- sid. 3b/aa pag. 546; 116 Ib 89 consid. 3b/bb; 112 Ib 576 consid. 11b/bb pag. 594; R. ZIMMERMANN, La coopération judiciaire internationale en matière pé- nale, 4a ediz., Berna 2014, n. 581). I fatti incriminati non devono forzatamente essere caratterizzati, nelle due legislazioni toccate, dalla medesima qualifica- zione giuridica (DTF 124 II 184 consid. 4b/cc pag. 188).</w:t>
      </w:r>
    </w:p>
    <w:p>
      <w:r>
        <w:t>Diversamente dall'ambito estradizionale, le misure di cooperazione sono già ammesse se la condizione della doppia punibilità è ossequiata alla luce di una singola fattispecie (sentenza del Tribunale federale 1C_138/2007 del 17 luglio 2007, consid. 2.3 e rinvii).</w:t>
      </w:r>
    </w:p>
    <w:p>
      <w:r>
        <w:t>- 8 -</w:t>
      </w:r>
    </w:p>
    <w:p>
      <w:r>
        <w:t>L'art. 2 lett. a CEAG permette tuttavia di rifiutare l'assistenza giudiziaria segna- tamente quando la domanda si riferisce a reati considerati dalla Parte richiesta come reati fiscali. Secondo l'art. 3 cpv. 3 AIMP, la domanda è irricevibile se il procedimento verte su un reato che sembra volto a una decurtazione di tributi fiscali o viola disposizioni in materia di provvedimenti di politica monetaria, com- merciale o economica. Tuttavia, si può dar seguito a una domanda in ambito di "altra assistenza" se il procedimento verte su una truffa in materia fiscale. Que- st'ultima deve essere interpretata sulla base dell'art. 14 cpv. 2 della legge fede- 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2008 128 consid. 5.4). Quando la domanda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 lezza della persona perseguita, lo Stato richiedente deve sostanziare l'esi- stenza di sufficienti sospetti circa la commissione di una truffa fiscale (DTF 125 II 250 consid. 5b; 118 Ib 111 consid. 5b). Tali particolari esigenze hanno come scopo quello di evitare che le norme ostative all'assistenza in materia econo- mica e fiscale vengano raggirate (TPF 2007 150 consid. 3.2.4). Lo Stato richie- dente non deve necessariamente allegare alla domanda i mezzi di prova. È sufficiente ch'esso li indichi e ne renda verosimile l'esistenza (v. sentenza del Tribunale federale 1A.183/1995 del 13 ottobre 1995, consid. 2d, citata da ZIMMERMANN, op. cit., pag. 599 n. 644 nota 689). Questo vale però solo in am- bito di fiscalità diretta, siccome l'Accordo anti frode (v. supra consid. 1.2), pre- figgendosi l'obiettivo di ampliare l'assistenza amministrativa e l'assistenza giu- diziaria in materia penale (v. art. 1 AAF), prevede espressamente la sua appli- cabilità in ambito di violazione della legislazione fiscale relativa all'imposta sul valore aggiunto (v. art. 2 cpv. 1 lett. a AAF), senza distinzioni di sorta fra sottra- zione d'imposta e truffa fiscale. In materia di imposte indirette la distinzione fra evasione e frode fiscale non costituisce più una discriminante di rilievo (v. art. 31 cpv. 1 lett. a AAF; v. M. KOCHER, Commentario basilese, Internationales Strafrecht, Basilea 2015, n. 105 e segg. ad art. 3 AIMP; M. KOCHER, Zollgesetz, Handkommentar, Berna 2009, n. 9 ad. Art. 115 ZG; L. UNSELD, Internationale Rechtshilfe im Steuerrecht, tesi zurighese, Zurigo/Basilea/Ginevra 2011, pag. 135, 147 e seg. con rinvii; v. anche sentenze del Tribunale penale federale RR.2013.298 del 6 maggio 2014, consid. 4.2.2; RR.2011.143 del 30 gennaio 2012, consid. 3.2.2 in fine).</w:t>
      </w:r>
    </w:p>
    <w:p>
      <w:r>
        <w:t>- 9 -</w:t>
      </w:r>
    </w:p>
    <w:p>
      <w:r>
        <w:rPr>
          <w:b/>
        </w:rPr>
        <w:t>E. 4.2</w:t>
      </w:r>
    </w:p>
    <w:p>
      <w:r>
        <w:t>Nel caso concreto non occorre chinarsi diffusamente e in maniera specifica sulla questione di sapere se i fatti così come descritti nella commissione roga- toria già evocati in precedenza (v. supra consid. 3.2) adempiano o meno i pre- supposti oggettivi e soggettivi del reato di truffa in materia fiscale ex art. 14 cpv. 2 DPA, poiché alla presente fattispecie torna applicabile l'AAF. Le esigenze supplementari richieste dalla giurisprudenza per evitare abusi in materia (v. TPF 2008 128 consid. 5.5 e rinvii) non sono qui di particolare momento.</w:t>
      </w:r>
    </w:p>
    <w:p>
      <w:r>
        <w:t>I fatti descritti nella commissione rogatoria possono configurare, prima facie, i reati previsti dagli art. 96 - 106 della legge federale del 12 giugno 2009 concer- nente l'imposta sul valore aggiunto (LIVA). La doppia punibilità è dunque certa- mente data. Anche sotto questo profilo le censure della ricorrente vanno re- spinte.</w:t>
      </w:r>
    </w:p>
    <w:p>
      <w:r>
        <w:rPr>
          <w:b/>
        </w:rPr>
        <w:t>E. 5</w:t>
      </w:r>
    </w:p>
    <w:p>
      <w:r>
        <w:t>L'insorgente sostiene infine che la decisione impugnata sia lesiva del principio della proporzionalità. A suo parere la richiesta estera sarebbe una ricerca esplo- rativa che costituisce un'inammissibile "fishing expedition", ritenendo che le in- formazioni richieste non sono connesse con la fattispecie descritta in rogatoria. In via subordinata la ricorrente auspica la limitazione alle informazioni riguar- danti l'anno 2013.</w:t>
      </w:r>
    </w:p>
    <w:p>
      <w:r>
        <w:rPr>
          <w:b/>
        </w:rPr>
        <w:t>E. 5.1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 base alla giurispru- denza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w:t>
      </w:r>
    </w:p>
    <w:p>
      <w:r>
        <w:t>Vietata in particolare è la cosiddetta "fishing expedition", la quale è definita dalla giurisprudenza una ricerca generale ed indiscriminata di mezzi di prova volta a fondare un sospetto senza che esistano pregressi elementi concreti a sostegno dello stesso (DTF 125 II 65 consid. 6b/aa e rinvii). Questo genere di inchieste non è consentito in ambito di assistenza giudiziaria internazionale sia alla luce</w:t>
      </w:r>
    </w:p>
    <w:p>
      <w:r>
        <w:t>- 10 -</w:t>
      </w:r>
    </w:p>
    <w:p>
      <w:r>
        <w:t>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 teria penale (v. D. DONATSCH/S. HEIMGARTNER/F. MEYER/M. SIMONEK, Interna- tionale Rechtshilfe, 2a ediz., Zurigo/Basilea/Ginevra 2015, pag. 93 e seg.).</w:t>
      </w:r>
    </w:p>
    <w:p>
      <w:r>
        <w:rPr>
          <w:b/>
        </w:rPr>
        <w:t>E. 5.2</w:t>
      </w:r>
    </w:p>
    <w:p>
      <w:r>
        <w:t>Agli atti risultano diverse operazioni che hanno toccato le relazioni bancarie n. 3 presso la banca G. SA e n. 4 presso la I. AG intestate alla ricorrente e che sono connesse con la fattispecie descritta in rogatoria: in particolare, sono emerse svariate transazioni tra la A. Ltd. e altre società riconducibili, direttamente o in- direttamente, all'indagato C., anch'esse oggetto dell'indagine rumena (v. atti 1,</w:t>
      </w:r>
    </w:p>
    <w:p>
      <w:r>
        <w:rPr>
          <w:b/>
        </w:rPr>
        <w:t>E. 5.3</w:t>
      </w:r>
    </w:p>
    <w:p>
      <w:r>
        <w:t>Per quanto concerne la limitazione della trasmissione ai dati concernenti l'anno 2013 auspicata dalla ricorrente si considera che, da consolidata prassi, quando le autorità estere chiedono informazioni su conti bancari nell'ambito di procedi- menti per reati come quelli qui in esame, esse necessitano di regola di tutti i documenti ivi relativi, perché debbono poter individuare il titolare giuridico ed</w:t>
      </w:r>
    </w:p>
    <w:p>
      <w:r>
        <w:t>- 11 -</w:t>
      </w:r>
    </w:p>
    <w:p>
      <w:r>
        <w:t>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natura stessa di dette inchieste rende inoltre verosi- mile la necessità di acquisire l'integralità della documentazione, in modo tale da chiarire con sufficiente ampiezza diacronica l'origine e la destinazione dei flussi monetari sospetti. La trasmissione dell'intera documentazione potrà evitare al- 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t>Costatata la sufficiente relazione tra la misura d'assistenza richiesta e l'oggetto del procedimento penale rumeno, spetterà al giudice estero del merito valutare se dalla documentazione sequestrata emerge in concreto una connessione pe- nalmente rilevante tra i fatti perseguiti all'estero e i conti oggetto della decisione impugnata. Non è infatti competenza dell'autorità rogata, rispettivamente del giudice adito su ricorso in ambito di assistenza, sostituirsi al giudice penale stra- niero e pronunciarsi sulla sostanza delle ipotesi di reato formulate dagli inqui- renti (v. DTF 132 II 81 consid. 2.1; 122 II 373 consid. 1c; 112 Ib 215 consid. 5b; 109 Ib 60 consid. 5a e rinvii). Visto quanto esposto, vi è da concludere che la domanda di assistenza estera non costituisce una "fishing expedition" e la tra- smissione della documentazione litigiosa non viola il principio della proporzio- nalità.</w:t>
      </w:r>
    </w:p>
    <w:p>
      <w:r>
        <w:t>6. Visto quanto esposto, la decisione impugnata va integralmente confermata e il gravame, nella misura della sua ricevibilità, va respinto.</w:t>
      </w:r>
    </w:p>
    <w:p>
      <w:r>
        <w:t>7. 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6'000.-- a carico dei ricorrenti in solido; essa è coperta dall’anticipo delle spese già versato.</w:t>
      </w:r>
    </w:p>
    <w:p>
      <w:r>
        <w:t>- 12 -</w:t>
      </w:r>
    </w:p>
    <w:p>
      <w:r>
        <w:t>- 13 -</w:t>
      </w:r>
    </w:p>
    <w:p>
      <w:r>
        <w:rPr>
          <w:b/>
        </w:rPr>
        <w:t>E. 7</w:t>
      </w:r>
    </w:p>
    <w:p>
      <w:r>
        <w:t>e 10 incarto MP/TI). Ad esempio si vedano le transazioni con la J. Srl. (tra gli altri, accrediti del 24 gennaio 2014 di EUR 385'900.-- e del 24 marzo 2014 di EUR 75'265.00), con la E. CO. Ltd. (per esempio accredito del 24 febbraio 2014 di fr. 258'000.--) o con la K. Srl. (per esempio accrediti del 20 febbraio 2014 di EUR 349'900.-- e del 24 marzo 2014 di EUR 284'560.00; v. estratti conto della relazione bancaria n. 3, atto 7 incarto MP/TI). Queste società sono, secondo le autorità rumene, amministrate di fatto o di diritto da C. e sarebbero coinvolte nel sistema di finti circuiti messi in atto per eludere il pagamento degli oneri fiscali in Romania (pag. 3 e seg. del decreto penale n. 191/C/P/03.07.2014, atto 1 incarto MP/TI). Anche dagli estratti conto della relazione bancaria n. 4 emer- gono relazioni con le summenzionate società (si veda per esempio l'accredito da parte della E. Co. Ltd. di EUR 205'000.00 in data 13 marzo 2012 o di EUR 251'250.00 del 20 aprile 2012; v. estratti conto della relazione bancaria 4, atto</w:t>
      </w:r>
    </w:p>
    <w:p>
      <w:r>
        <w:rPr>
          <w:b/>
        </w:rPr>
        <w:t>E. 10</w:t>
      </w:r>
    </w:p>
    <w:p>
      <w:r>
        <w:t>incarto MP/TI).</w:t>
      </w:r>
    </w:p>
    <w:p>
      <w:r>
        <w:t>Inoltre in occasione della perquisizione presso la sede della D. Srl., ammini- strata dall'indagato, sono stati trovati gli atti costitutivi e i timbri della ricorrente. In particolare l'autorità rumena sospetta l'utilizzo della società per registrare operazioni fittizie atte all'ottenimento di un indebito rimborso d'IVA (v. supra consid. 3.2).</w:t>
      </w:r>
    </w:p>
    <w:p>
      <w:r>
        <w:t>Conformemente alla sopraccitata giurisprudenza, l'utilità potenziale dei docu- menti bancari in questione è certamente data. Le autorità rumene devono poter rintracciare il cammino dei trasferimenti in esame al fine di chiarire i punti oscuri riguardanti il possibile ruolo delle relazioni bancarie oggetto della presente ver- tenza in relazione alla fattispecie oggetto d'indagine.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