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RR.2015.234 vom 2. Februar 2016</w:t>
      </w:r>
    </w:p>
    <w:p>
      <w:r>
        <w:t>Bundesstrafgericht, 2016-02-02, DE</w:t>
      </w:r>
    </w:p>
    <w:p>
      <w:r>
        <w:rPr>
          <w:b/>
        </w:rPr>
        <w:t xml:space="preserve">Quelle: </w:t>
      </w:r>
      <w:r>
        <w:t>https://mcp.opencaselaw.ch/entscheid/bstger_RR.2015.234</w:t>
      </w:r>
    </w:p>
    <w:p>
      <w:r>
        <w:t>FR: TPF RR.2015.234 du 2 février 2016</w:t>
      </w:r>
    </w:p>
    <w:p>
      <w:r>
        <w:t>IT: TPF RR.2015.234 del 2 febbraio 2016</w:t>
      </w:r>
    </w:p>
    <w:p>
      <w:pPr>
        <w:pStyle w:val="Heading2"/>
      </w:pPr>
      <w:r>
        <w:t>Regeste</w:t>
      </w:r>
    </w:p>
    <w:p>
      <w:r>
        <w:t>Auslieferung an die Türkei. Rückweisungsurteil des Bundesgerichts. Kosten- und Entschädigungsfolgen.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Verfahrenskosten werden in der Regel der unterliegenden Partei aufer- legt; unterliegt diese nur teilweise, so werden die Verfahrenskosten ermäs- sigt. Keine Verfahrenskosten werden Vorinstanzen oder beschwerdeführen- den und unterliegenden Bundesbehörden auferlegt (Art. 39 Abs. 2 lit. b i.V.m. Art. 37 Abs. 2 lit. a des Bundesgesetzes über die Organisation der Strafbe- hörden des Bundes vom 19. März 2010 [StBOG; SR 173.71] i.V.m. Art. 63 Abs. 2 des Bundesgesetzes vom 20. Dezember 1968 über das Verwaltungs- verfahren [VwVG; SR 172.021]). Darüber hinaus kann der ganz oder teil- weise obsiegenden Partei von Amtes wegen oder auf Begehren eine Ent- schädigung für ihr erwachsene notwendige und verhältnismässig hohe Kos- ten zugesprochen werden (Art. 39 Abs. 2 lit. b StBOG i.V.m. Art. 64 Abs. 1 und 2 VwVG). Obsiegt die Partei nur teilweise, so ist die Parteientschädigung entsprechend zu kürzen (vgl. MICHAEL BEUSCH, in Kommentar zum Bundes- gesetz über das Verwaltungsverfahren, Auer/Müller/Schindler [Hrsg.], Zü- rich/St. Gallen 2008, Art. 64 N. 9). Die Parteientschädigung wird nach Er- messen festgesetzt, wenn spätestens mit der einzigen oder letzten Eingabe keine Kostennote eingereicht wird (Art. 12 Abs. 2 des Reglements des Bun- desstrafgerichts vom 31. August 2010 über die Kosten, Gebühren und Ent- schädigungen in Bundesstrafverfahren [BStKR; SR 173.713.162] i.V.m. Art. 64 Abs. 5 VwVG und Art. 73 Abs. 1 lit. c StBOG).</w:t>
      </w:r>
    </w:p>
    <w:p>
      <w:r>
        <w:rPr>
          <w:b/>
        </w:rPr>
        <w:t>E. 1.2</w:t>
      </w:r>
    </w:p>
    <w:p>
      <w:r>
        <w:t>Mit Urteil vom 12. August 2015 bestätigte das Bundesgericht zum einen die Abweisung der Einrede des politischen Delikts (Dispositiv Ziffer 2). Zum an- deren hob es Dispositiv Ziffer 3 (Abweisung der Beschwerde gegen den Aus- lieferungsentscheid) auf und wies die Sache zur neuen Beurteilung an das BJ zurück. Bei diesem Ausgang des Verfahrens obsiegt der Beschwerdefüh- rer zur Hälfte. Unter den gegebenen Umständen ist ihm eine reduzierte Ge- richtsgebühr von Fr. 1'500.-- aufzuerlegen, unter Anrechnung des entspre- chenden Betrages aus dem geleisteten Kostenvorschuss in der Höhe von Fr. 3'000.--. Die Bundesstrafgerichtskasse ist anzuweisen, dem Beschwer- deführer den Restbetrag von Fr. 1'500.-- zurückzuerstatten.</w:t>
      </w:r>
    </w:p>
    <w:p>
      <w:r>
        <w:rPr>
          <w:b/>
        </w:rPr>
        <w:t>E. 1.3</w:t>
      </w:r>
    </w:p>
    <w:p>
      <w:r>
        <w:t>Unter Berücksichtigung aller Umstände erscheint vorliegend eine Parteient- schädigung von gesamthaft Fr. 4'000.-- (inkl. MWST) als angemessen. Zu- folge teilweisen Obsiegens des Beschwerdeführers ist dieser im Umfang von Fr. 2'000.-- (inkl. MWST) durch den Beschwerdegegner zu entschädigen.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