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RR.2015.233 vom 20. Januar 2016</w:t>
      </w:r>
    </w:p>
    <w:p>
      <w:r>
        <w:t>Bundesstrafgericht, 2016-01-20, IT</w:t>
      </w:r>
    </w:p>
    <w:p>
      <w:r>
        <w:rPr>
          <w:b/>
        </w:rPr>
        <w:t xml:space="preserve">Quelle: </w:t>
      </w:r>
      <w:r>
        <w:t>https://mcp.opencaselaw.ch/entscheid/bstger_RR.2015.233</w:t>
      </w:r>
    </w:p>
    <w:p>
      <w:r>
        <w:t>FR: TPF RR.2015.233 du 20 janvier 2016</w:t>
      </w:r>
    </w:p>
    <w:p>
      <w:r>
        <w:t>IT: TPF RR.2015.233 del 20 gennaio 2016</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w:t>
      </w:r>
    </w:p>
    <w:p>
      <w:r>
        <w:t>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140 IV 123 consid. 2; 137 IV 33 consid. 2.2.2; 136 IV 82 con- 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 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Basilea 2015, n. 1 e segg. ad art. 12 AIMP), di cui al prece- dente considerando.</w:t>
      </w:r>
    </w:p>
    <w:p>
      <w:r>
        <w:rPr>
          <w:b/>
        </w:rPr>
        <w:t>E. 1.4</w:t>
      </w:r>
    </w:p>
    <w:p>
      <w:r>
        <w:t>Interposto tempestivamente contro la sopraccitata decisione di chiusura, il ri- corso è ricevibile sotto il profilo degli art. 25 cpv. 1, 80 e cpv. 1 e 80 k AIMP. La ricorrente è titolare della relazione bancaria oggetto della decisione impugnata ed è di conseguenza legittimata a ricorrere (v. art. 9a lett. a OAIMP nonché DTF 137 IV 134 consid. 5.2.1; 130 II 162 consid. 1.1; 128 II 211 consid. 2.3; TPF 2007 79 consid. 1.6 pag. 82).</w:t>
      </w:r>
    </w:p>
    <w:p>
      <w:r>
        <w:rPr>
          <w:b/>
        </w:rPr>
        <w:t>E. 2.1</w:t>
      </w:r>
    </w:p>
    <w:p>
      <w:r>
        <w:t>L'insorgente lamenta innanzitutto una violazione del suo diritto di essere sentita, nella misura in cui il MPC non l'avrebbe chiamata ad esprimersi sulla rogatoria. Oltre a ciò, il MPC non avrebbe correttamente adempiuto al proprio obbligo di effettuare la cernita della documentazione di cui è stata disposta la trasmissione alle autorità estere, né avrebbe debitamente motivato la decisione di chiusura (act. 1 pag. 3 e 4).</w:t>
      </w:r>
    </w:p>
    <w:p>
      <w:r>
        <w:rPr>
          <w:b/>
        </w:rPr>
        <w:t>E. 2.2</w:t>
      </w:r>
    </w:p>
    <w:p>
      <w:r>
        <w:t>Secondo la giurisprudenza, l'autorità di esecuzione, dopo aver concesso al de- tentore della documentazione la possibilità di addurre i motivi che si opporreb- bero alla trasmissione di determinati atti e la facoltà di partecipare alla neces- saria cernita, ha l'obbligo di motivare accuratamente la decisione di chiusura (DTF 130 II 14 consid. 4.4 pag. 18). Essa non potrebbe infatti ordinare in modo acritico e indeterminato la trasmissione dei documenti, delegandone tout court</w:t>
      </w:r>
    </w:p>
    <w:p>
      <w:r>
        <w:t>la selezione agli inquirenti esteri (DTF 127 II 151 consid. 4c/aa pag. 155; 122 II 367 consid. 2c; 112 Ib 576 consid. 14a pag. 604). Questo compito spetta all'au- torità svizzera d'esecuzione che, in assenza di un eventuale consenso all'ese- cuzione semplificata (art. 80c AIMP), prima di emanare una decisione di chiu- sura, deve impartire alle persone toccate giusta l'art. 80h lett. b AIMP e art. 9a OAIMP un termine per addurre riguardo ad ogni singolo documento gli argo- menti che secondo loro si opporrebbero alla consegna. Questo affinché esse possano esercitare in maniera concreta ed effettiva il loro diritto di essere sen- tite (v. art. 30 cpv. 1 della legge federale sulla procedura amministrativa [PA; RS 172.021] richiamato l'art. 39 cpv. 2 lett. b LOAP), secondo modalità di col- laborazione comunque rispettose del principio della buona fede (art. 5 cpv. 3 Cost.; PATRICK L. KRAUSKOPF/KATRIN EMMENEGGER, in: B. Waldmann/P. Weis- senberger, Praxiskommentar VwVG, Zurigo/Basilea/Ginevra 2009, n. 54 ad art. 12). La cernita deve aver luogo anche qualora l'interessato rinunci ad espri- mersi (DTF 130 II 14 consid. 4.3 e 4.4; 126 II 258 consid. 9b/aa pag. 262; cfr. anche DTF 127 II 151 consid. 4c/aa; ROBERT ZIMMERMANN, La coopération judiciaire internationale en matière pénale, 4a ediz., Berna 2014, n. 484, 724- 725; PASCAL DE PREUX, L'entraide internationale en matière pénale et la lutte contre le blanchiment d'argent, in SJZ 104/2008 n. 2 pag. 34).</w:t>
      </w:r>
    </w:p>
    <w:p>
      <w:r>
        <w:rPr>
          <w:b/>
        </w:rPr>
        <w:t>E. 2.3</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MICHELE ALBERTINI, Der ver- fassungsmässige Anspruch auf rechtliches Gehör im Verwaltungsverfahren des modernen Staates, tesi di laurea, Berna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134 I 83 consid. 4.1; 130 II 530 consid. 4.3; 126 I 97 consid. 2b e sentenze citate; sentenza del Tribunale fede- rale 1B_380/2010 del 14 marzo 2011, consid. 3.2.1).</w:t>
      </w:r>
    </w:p>
    <w:p>
      <w:r>
        <w:rPr>
          <w:b/>
        </w:rPr>
        <w:t>E. 2.4</w:t>
      </w:r>
    </w:p>
    <w:p>
      <w:r>
        <w:t>Il diritto di essere sentito, ancorato all’art. 29 cpv. 2 Cost., viene concretizzato nell’ambito dell’assistenza giudiziaria internazionale agli art. 29 e segg. PA ri- chiamato l’art. 12 cpv. 1 AIMP (ZIMMERMANN, op. cit., n. 472). Esso è di natura formale (DTF 126 I 19 consid. 2d/bb pag. 24; 125 I 113 consid. 3; ALBERTINI, op. cit., pag. 449 con rinvii). Una violazione di questo diritto fondamentale da parte dell’autorità d’esecuzione non comporta comunque automaticamente l’ac- coglimento del gravame e l’annullamento della decisione impugnata. Secondo la giurisprudenza e la dottrina una violazione del diritto di essere sentito può</w:t>
      </w:r>
    </w:p>
    <w:p>
      <w:r>
        <w:t>essere sanata, se la persona toccata ottiene la possibilità di esprimersi in merito davanti ad un'autorità di ricorso, la quale, come nella fattispecie la Corte dei reclami penali del Tribunale penale federale, dispone del medesimo potere d’esame dell’autorità d’esecuzione stessa (v. DTF 124 II 132 consid. 2d; sen- tenze del Tribunale federale 1C_525/2008 e 1C_526/2008 del 28 novembre 2008, consid. 1.3 nonché 1A.54/2004 del 30 aprile 2004; TPF 2008 172 con- sid. 2.3; ZIMMERMANN, op. cit., n. 472). Anche in presenza di una violazione grave del diritto di essere sentito, il Tribunale federale ha già ritenuto ammissi- bile prescindere da un rinvio all'autorità inferiore allorquando questo costitui- rebbe una mera formalità, provocando un ritardo inutile nella procedura, incom- patibile con l'interesse della parte interessata ad un'evasione celere della sua causa (DTF 137 I 195 consid. 2.3.2; 133 I 201 consid. 2.2).</w:t>
      </w:r>
    </w:p>
    <w:p>
      <w:r>
        <w:rPr>
          <w:b/>
        </w:rPr>
        <w:t>E. 2.5</w:t>
      </w:r>
    </w:p>
    <w:p>
      <w:r>
        <w:t>Nella fattispecie, sia la decisione di entrata nel merito del 6 luglio 2015 che la decisione di chiusura del 21 luglio 2015 sono state comunicate all'istituto ban- cario presso cui è sita la relazione intestata alla ricorrente (act. 8.3, act. 8.4). Occorre in proposito ricordare che l'autorità d'esecuzione non notifica le proprie decisioni all'estero (v. art. 80m AIMP; art. 9 OAIMP; sentenza del Tribunale fe- derale 1A.221/2002 del 25 novembre 2002, consid. 2.6) ma si ritiene sufficiente che la decisione venga intimata all'istituto di credito presso cui è sita la relazione bancaria (v. DTF 136 IV 16 consid. 2.2). In simili evenienze, incombe perciò all'istituto bancario di rendere attento il cliente alla misura di assistenza non ap- pena ne è venuto a conoscenza, rispettivamente non appena è venuto meno il divieto di informazione giusta l'art. 80b cpv. 2 lett. a AIMP.</w:t>
      </w:r>
    </w:p>
    <w:p>
      <w:r>
        <w:t>Nel caso concreto, la ricorrente non sostiene di non avere avuto tempestiva- mente conoscenza – tramite la banca E. SA – delle decisioni summenzionate, ma si limita ad indicare che il MPC avrebbe dovuto notificare le medesime all'avv. F., suo patrocinatore nel procedimento penale SV.12.0513, e non alla banca (act. 11 pag. 2 e 3). Esprimendosi su tale aspetto, il MPC ha spiegato di avere in realtà preso contatto con il citato patrocinatore prima di notificare la decisione di entrata nel merito; l'avv. F. avrebbe però chiesto di inviare la docu- mentazione oggetto del presente procedimento di assistenza internazionale di- rettamente all'istituto bancario presso cui era sito il conto in questione, aggiun- gendo che avrebbe avvisato la sua assistita di questa circostanza (act. 8 pag. 2).</w:t>
      </w:r>
    </w:p>
    <w:p>
      <w:r>
        <w:t>Di conseguenza, avendo la ricorrente sede in Italia e non avendo essa eletto domicilio in Svizzera per la procedura di assistenza (v. act. 8 pag. 2), l'autorità elvetica ha correttamente effettuato la notifica delle proprie decisioni trasmet- tendole alla banca E. SA.</w:t>
      </w:r>
    </w:p>
    <w:p>
      <w:r>
        <w:t>Sull'asserita violazione dei doveri nell'ambito della cernita della documenta- zione, come detto, la ricorrente non sostiene che la banca E. SA, a cui incom- beva una comunicazione immediata alla propria cliente (v. ZIMMERMANN, op. cit., n. 319 e 537), non l'avrebbe subito informata delle misure di assistenza. L'autorità di esecuzione ha emanato la propria decisione di chiusura il 21 luglio, 15 giorni dopo aver notificato la decisione di entrata nel merito all'istituto ban- cario: tale lasso temporale, seppur breve, nel caso di specie deve essere co- munque ritenuto ossequioso degli obblighi di celerità giusta l'art. 17a AIMP (v.sentenze del Tribunale penale federale RR.2015.139 del 16 ottobre 2015, consid. 2.5; RR.2014.243 del 2 dicembre 2014, consid. 3.2 non pubblicato in TPF 2014 140; più ampiamente Albertini, op. cit., pag. 341 e seg.). Non risulta peraltro dal dossier che l'insorgente, in ossequio al proprio dovere di collaborare con l'autorità in base al principio della buona fede, sia intervenuta presso l'au- torità d'esecuzione per conoscere gli atti e pronunciarsi sui medesimi (ZIMMERMANN, op. cit., n. 484).</w:t>
      </w:r>
    </w:p>
    <w:p>
      <w:r>
        <w:t>La ricorrente ha inoltre avuto piena facoltà di esprimersi sui singoli documenti oggetto di trasmissione nell'ambito della procedura ricorsuale, dinanzi ad un'au- torità dotata di un pieno potere cognitivo in fatto e in diritto. Pertanto, un'even- tuale violazione del predetto diritto sarebbe stata comunque sanata dal pre- sente procedimento (v. DTF 124 II 132 consid. 2d). Va qui rilevato che neppure in questa sede l'insorgente ha dettagliatamente fatto uso della propria facoltà di pronunciarsi sugli atti oggetto di trasmissione: nei suoi memoriali, essa si è in- fatti limitata a contestare in maniera generica le modalità con cui il MPC ha deciso l'invio della documentazione, sostenendo che l'autorità elvetica non le avrebbe permesso di partecipare alla cernita, operazione alla quale il MPC si sarebbe sottratto (act. 1 pag. 3 e 4). Il MPC, dal canto suo, ha invece confermato di avere proceduto ad un'analisi della documentazione bancaria raccolta e di avere quindi deciso di trasmettere tutti i documenti richiesti all'autorità estera (act. 8 pag. 3).</w:t>
      </w:r>
    </w:p>
    <w:p>
      <w:r>
        <w:t>Alla luce di tutto ciò, e in assenza di contestazioni ed argomentazioni concrete della ricorrente, la censura a tale riguardo non può trovare accoglimento.</w:t>
      </w:r>
    </w:p>
    <w:p>
      <w:r>
        <w:rPr>
          <w:b/>
        </w:rPr>
        <w:t>E. 2.6</w:t>
      </w:r>
    </w:p>
    <w:p>
      <w:r>
        <w:t>Sull'allegata carente motivazione della decisione di chiusura, va constatato che il MPC, seppur a grandi linee, ha descritto i fatti oggetto d'inchiesta in Italia e le relative ipotesi di reato; per una più compiuta esposizione della fattispecie ha poi rinviato al contenuto della richiesta rogatoriale (act. 1.1 pag. 1 e 2). Nel se- guito, l'autorità elvetica ha elencato i reati che – effettuata la dovuta trasposi- zione nel diritto svizzero – tali fatti potrebbero adempiere secondo la legisla- zione elvetica; essa ha inoltre evidenziato i motivi che hanno portato ad ordinare la trasmissione all'estero della documentazione in questione. L'autorità d'ese- cuzione ha in particolare affermato che il conto in oggetto, di cui è beneficiario B. e che è stato aperto il 1° febbraio 2010, "è in relazione oggettiva con i reati</w:t>
      </w:r>
    </w:p>
    <w:p>
      <w:r>
        <w:t>da analizzare, considerato che questa relazione, tra l'altro, è stata alimentata tramite un bonifico e trasferimento titoli rispettivamente di EUR 402'860.00 e EUR 8'470'328.00 provenienti da un'altra relazione bancaria […] intestata a B. presso la banca E. SA di Z., aperta in data 11 settembre 2007 e chiusa in data 30 novembre 2010, quest'ultima a sua volta alimentata tramite 15 bonifici nel periodo 20 settembre 2007 al 16 gennaio 2008, per un importo totale di circa EUR 3'743'000.00 provenienti dalla relazione […] intestata alla G. SA e per un importo di EUR 5'566'214.00 provenienti dalla relazione […] intestata a H. in data 22 luglio 2008". Il MPC ha in proposito precisato che la documentazione relativa al conto della ricorrente offrirebbe una visione sui movimenti e sull'in- sieme degli averi patrimoniali a disposizione di B., considerato segnatamente il periodo temporale delle operazioni effettuate, le quali si iscriverebbero nel pe- riodo di interesse per il procedimento estero (act. 1.1 pag. 2 e 3).</w:t>
      </w:r>
    </w:p>
    <w:p>
      <w:r>
        <w:t>Ora, se è vero che le argomentazioni esposte dal MPC nella propria decisione di chiusura non sono precise e dettagliate, ciò non toglie che le informazioni fornite sono sufficienti, tant'è che hanno permesso alla ricorrente, come testi- monia anche il contenuto dell'impugnativa, di rendersi conto della portata del provvedimento contestato, proprio come richiesto dalla giurisprudenza in mate- ria, e di presentare tempestivamente un ricorso (v. consid. 2.3).</w:t>
      </w:r>
    </w:p>
    <w:p>
      <w:r>
        <w:rPr>
          <w:b/>
        </w:rPr>
        <w:t>E. 2.7</w:t>
      </w:r>
    </w:p>
    <w:p>
      <w:r>
        <w:t>La ricorrente critica poi il fatto che la documentazione in oggetto era già stata acquisita in un separato procedimento penale, motivo per cui, a suo parere, il MPC avrebbe omesso di verificare l'effettiva necessità di tali atti per il presente procedimento rogatoriale. A torto. In realtà, come esposto in precedenza, il MPC ha dettagliato sufficientemente i motivi per i quali ha ritenuto la documen- tazione oggetto di trasmissione di rilievo nell'ambito della presente domanda di assistenza internazionale, riferendosi precisamente a quanto indicato nella commissione rogatoria.</w:t>
      </w:r>
    </w:p>
    <w:p>
      <w:r>
        <w:t>In ogni caso, l'insorgente ha avuto la possibilità di prendere conoscenza delle motivazioni alla base della decisione del MPC nel corso della presente proce- dura, specificate in particolare nelle osservazioni al ricorso e nei relativi allegati: pertanto, un'eventuale violazione in tal senso sarebbe stata comunque sanata in questa sede (v. supra consid. 2.4).</w:t>
      </w:r>
    </w:p>
    <w:p>
      <w:r>
        <w:t>Per i motivi esposti in precedenza, la censura relativa ad una carenza di moti- vazione va respinta.</w:t>
      </w:r>
    </w:p>
    <w:p>
      <w:r>
        <w:rPr>
          <w:b/>
        </w:rPr>
        <w:t>E. 3</w:t>
      </w:r>
    </w:p>
    <w:p>
      <w:r>
        <w:t>La ricorrente sostiene infine che la trasmissione all'autorità rogante della docu- mentazione riguardante il suo conto violerebbe il principio della proporzionalità e configurerebbe un'inammissibile "fishing expedition".</w:t>
      </w:r>
    </w:p>
    <w:p>
      <w:r>
        <w:rPr>
          <w:b/>
        </w:rPr>
        <w:t>E. 3.1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 sid. 3.1; RR.2007.18 del 21 maggio 2007, consid. 6.3) o se la domanda appaia abusiva, le informazioni richieste essendo del tutto inidonee a far progredire le indagini (DTF 122 II 134 consid. 7b; 121 II 241 consid. 3a). Inoltre, da consoli- data prassi, quando le autorità estere chiedono informazioni su conti bancari nell'ambito di procedimenti come quello qui in esame, esse necessitano di re- gola di tutti i relativi documenti, perché debbono poter individuare il titolare giu- ridico ed economico dei conti eventualmente foraggiati con proventi illeciti, per sapere a quali persone o entità giuridiche possano essere ricollegati (DTF 129 II 462 consid. 5.5; 124 II 180 consid. 3c inedito; 121 II 241 consid. 3b e c; sen- 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 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 denza l'esame va quindi limitato alla cosiddetta utilità potenziale,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expedition, la quale è definita dalla giurispru- 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 cemente sul fatto che è inammissibile procedere a casaccio nella raccolta delle prove (DTF 113 Ib 257 consid. 5c).</w:t>
      </w:r>
    </w:p>
    <w:p>
      <w:r>
        <w:rPr>
          <w:b/>
        </w:rPr>
        <w:t>E. 3.2</w:t>
      </w:r>
    </w:p>
    <w:p>
      <w:r>
        <w:t>Orbene, nel caso concreto, la ricorrente non ha debitamente motivato per quali ragioni la trasmissione della documentazione in oggetto violerebbe il principio di proporzionalità o il divieto della fishing expedition. Sia quel che sia, alla luce degli atti di causa, in particolare della domanda rogatoriale che ben specifica la fattispecie oggetto di indagine e la documentazione richiesta all'autorità elvetica - come rettamente evidenziato dall'autorità di esecuzione - sulla relazione della ricorrente sono intervenute delle operazioni che, ritenuta la natura patrimoniale ed associativa dei reati contestati agli imputati, meritano senz'altro un esame da parte delle autorità italiane (act. 8 pag. 4 e segg.). Anche il periodo oggetto di analisi da parte delle autorità estere, compreso tra il 1999 ed il 2011 (act. 8.1 pag. 2), coincide con le movimentazioni rilevate dal MPC e riferite al conto della ricorrente (v. supra consid. 2.6).</w:t>
      </w:r>
    </w:p>
    <w:p>
      <w:r>
        <w:t>Vi è dunque da concludere che il conto litigioso non può assolutamente essere ritenuto completamente estraneo ai fatti oggetto d'indagine: la trasmissione della documentazione litigiosa rispetta pertanto il principio della proporzionalità e non viola il divieto della fishing expedition.</w:t>
      </w:r>
    </w:p>
    <w:p>
      <w:r>
        <w:t>Il gravame deve di conseguenza essere integralmente respinto, giacché infon- dato anche su questo punto.</w:t>
      </w:r>
    </w:p>
    <w:p>
      <w:r>
        <w:rPr>
          <w:b/>
        </w:rPr>
        <w:t>E. 4</w:t>
      </w:r>
    </w:p>
    <w:p>
      <w:r>
        <w:t>Le spese seguono la soccombenza (v. art. 63 PA). La tassa di giustizia è cal- colata giusta gli art. 73 cpv. 2 LOAP, 63 cpv. 4bis lett. b PA, nonché 5 e 8 cpv. 3 lett. b del regolamento del 31 agosto 2010 sulle spese, gli emolumenti, le ripe- tibili e le indennità della procedura penale federale (RSPPF; RS 173.713.162), ed è fissata nella fattispecie a fr. 5'000.--; essa è coperta dall'anticipo delle spese già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