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RR.2015.229 vom 19. November 2015</w:t>
      </w:r>
    </w:p>
    <w:p>
      <w:r>
        <w:t>Bundesstrafgericht, 2015-11-19, FR</w:t>
      </w:r>
    </w:p>
    <w:p>
      <w:r>
        <w:rPr>
          <w:b/>
        </w:rPr>
        <w:t xml:space="preserve">Quelle: </w:t>
      </w:r>
      <w:r>
        <w:t>https://mcp.opencaselaw.ch/entscheid/bstger_RR.2015.229</w:t>
      </w:r>
    </w:p>
    <w:p>
      <w:r>
        <w:t>FR: TPF RR.2015.229 du 19 novembre 2015</w:t>
      </w:r>
    </w:p>
    <w:p>
      <w:r>
        <w:t>IT: TPF RR.2015.229 del 19 novembre 2015</w:t>
      </w:r>
    </w:p>
    <w:p>
      <w:pPr>
        <w:pStyle w:val="Heading2"/>
      </w:pPr>
      <w:r>
        <w:t>Regeste</w:t>
      </w:r>
    </w:p>
    <w:p>
      <w:r>
        <w:t>Entraide judiciaire internationale en matière pénale à l'Italie. Remise en vue de confiscation (art. 74a EIMP).</w:t>
      </w:r>
    </w:p>
    <w:p>
      <w:pPr>
        <w:pStyle w:val="Heading2"/>
      </w:pPr>
      <w:r>
        <w:t>Erwägungen</w:t>
      </w:r>
    </w:p>
    <w:p>
      <w:r>
        <w:rPr>
          <w:b/>
        </w:rPr>
        <w:t>E. 1.1</w:t>
      </w:r>
    </w:p>
    <w:p>
      <w:r>
        <w:t>La Confédération suisse et la République italienne sont toutes deux parties</w:t>
      </w:r>
    </w:p>
    <w:p>
      <w:r>
        <w:t>- 4 -</w:t>
      </w:r>
    </w:p>
    <w:p>
      <w:r>
        <w:t>à la Convention européenne d’entraide judiciaire en matière pénale du 20 avril 1959, entrée en vigueur le 20 mars 1967 pour la Suisse et le 12 juin 1962 pour l'Italie (CEEJ; RS 0.351.1) et ont passé un Accord en vue de la compléter et d’en faciliter l’application (RS 0.351.945.41; ci-après: l'Accord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(arrêt du Tribunal pénal fédéral RR.2013.293 du 21 février 2014, consid. 1.2; cf. plus généralement l'arrêt du Tribunal pénal fédéral RR.2008.98-99 du 18 décembre 2008, consid. 1.3). Peut également s'appliquer en l'occurrence la Convention du Conseil de l’Europe relative au blanchiment, au dépistage, à la saisie et à la confiscation des produits du crime (CBl; RS 0.311.53), entrée en vigueur pour la Suisse le 1er septembre 1993 et pour l’Italie le 1er mai 1994. Les dispositions de ces traités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128 consid. 2; 137 IV 33 consid. 2.2.2; 136 IV 82 consid. 3.1; arrêt du Tribunal pénal fédéral RR.2013.301-302 du 22 mai 2014, consid. 1), ce qui vaut aussi dans le rapport entre elles des normes internationales (cf. art. 48 ch. 2 CAAS, 39 ch.</w:t>
      </w:r>
    </w:p>
    <w:p>
      <w:r>
        <w:rPr>
          <w:b/>
        </w:rPr>
        <w:t>E. 1.2</w:t>
      </w:r>
    </w:p>
    <w:p>
      <w:r>
        <w:t>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Est directement touchée, au sens de cette disposition, la personne qui doit se soumettre directement à une mesure d'entraide. Lorsque la demande tend à la remise d'objets ou de valeurs en vue de confiscation ou de restitution (art. 74a EIMP), la qualité pour agir appartient en premier lieu au détenteur des avoirs, soit en particulier au titulaire du compte bancaire sur lequel se trouvent les fonds concernés (ATF 131 II 169 consid. 2.2.1) ou au propriétaire des objets saisis (ATF 123 II 134,</w:t>
      </w:r>
    </w:p>
    <w:p>
      <w:r>
        <w:t>- 5 -</w:t>
      </w:r>
    </w:p>
    <w:p>
      <w:r>
        <w:t>consid. 1c), selon les critères déduits de l'art. 80h let. b EIMP. Est notamment légitimée à intervenir, dans le cadre spécifique de l'art. 74a EIMP, la personne lésée résidant en Suisse qui allègue être au bénéfice de droits sur ces objets ou valeurs (art. 74a al. 4 let. c EIMP). Tel est le cas de la recourante (let. K.; cf. infra consid. 3).</w:t>
      </w:r>
    </w:p>
    <w:p>
      <w:r>
        <w:rPr>
          <w:b/>
        </w:rPr>
        <w:t>E. 1.4</w:t>
      </w:r>
    </w:p>
    <w:p>
      <w:r>
        <w:t>Le délai de recours contre l'ordonnance de clôture est de 30 jours dès la communication écrite de celle-ci (art. 80k EIMP), c'est-à-dire de sa notification (ATF 136 IV 16 consid. 2.3). Interjeté le lundi 17 août 2015 contre une décision notifiée au plus tôt le 17 juillet précédent, le recours l'a été en temps utile.</w:t>
      </w:r>
    </w:p>
    <w:p>
      <w:r>
        <w:rPr>
          <w:b/>
        </w:rPr>
        <w:t>E. 1.5</w:t>
      </w:r>
    </w:p>
    <w:p>
      <w:r>
        <w:t>Il y a donc lieu d'entrer en matière.</w:t>
      </w:r>
    </w:p>
    <w:p>
      <w:r>
        <w:rPr>
          <w:b/>
        </w:rPr>
        <w:t>E. 2</w:t>
      </w:r>
    </w:p>
    <w:p>
      <w:r>
        <w:t>Selon le MP-GE, les conditions auxquelles l'art. 74a EIMP subordonne la remise à l'Etat requérant de biens saisis sont remplies en l'espèce. D'avis contraire, la recourante dénonce une violation de l'alinéa 4 let. c de cette disposition. Elle affirme qu'elle est au bénéfice d'un droit de rétention sur les biens dont la remise a été ordonnée, destiné à couvrir une créance en arriéré de frais d'entreposage, et que celui-ci empêche temporairement la mesure ordonnée.</w:t>
      </w:r>
    </w:p>
    <w:p>
      <w:r>
        <w:rPr>
          <w:b/>
        </w:rPr>
        <w:t>E. 3.1</w:t>
      </w:r>
    </w:p>
    <w:p>
      <w:r>
        <w:t>Aux termes de l'art. 74a al. 1 et 2 EIMP, sur demande de l'autorité étrangère compétente, les objets ou valeurs saisis à titre conservatoire, soit notamment le produit ou le résultat de l'infraction, la valeur de remplacement et l'avantage illicite (let. b), peuvent lui être remis au terme de la procédure d'entraide (art. 80d EIMP), en vue de confiscation ou de restitution à l'ayant droit. Selon l'alinéa 3 de cette disposition légale, la remise peut intervenir à tous les stades de la procédure étrangère, en règle générale sur décision définitive et exécutoire de l'Etat requérant.</w:t>
      </w:r>
    </w:p>
    <w:p>
      <w:r>
        <w:rPr>
          <w:b/>
        </w:rPr>
        <w:t>E. 3.2</w:t>
      </w:r>
    </w:p>
    <w:p>
      <w:r>
        <w:t>Les conditions posées par l'art. 74a, al. 1 et 3, EIMP sont en l'occurrence réunies, compte tenu en particulier du jugement de confiscation italien, selon lequel les biens litigieux, vestiges archéologiques appartenant à l'Etat requérant, lui ont été dérobés par des pilleurs de tombe (tombaroli). Cela n'est d'ailleurs pas contesté.</w:t>
      </w:r>
    </w:p>
    <w:p>
      <w:r>
        <w:rPr>
          <w:b/>
        </w:rPr>
        <w:t>E. 4.1</w:t>
      </w:r>
    </w:p>
    <w:p>
      <w:r>
        <w:t>L'art. 74a al. 4 let. c EIMP dispose notamment que les objets ou valeurs saisis à titre conservatoire peuvent être retenus en Suisse si une personne étrangère à l'infraction et dont les prétentions ne sont pas garanties par l'Etat</w:t>
      </w:r>
    </w:p>
    <w:p>
      <w:r>
        <w:t>- 6 -</w:t>
      </w:r>
    </w:p>
    <w:p>
      <w:r>
        <w:t>requérant rend vraisemblable qu'elle a acquis de bonne foi en Suisse des droits sur ces objets ou valeurs.</w:t>
      </w:r>
    </w:p>
    <w:p>
      <w:r>
        <w:rPr>
          <w:b/>
        </w:rPr>
        <w:t>E. 4.2</w:t>
      </w:r>
    </w:p>
    <w:p>
      <w:r>
        <w:t>La recourante n'a jamais été soupçonnée d'avoir pris part, à quel titre que ce soit, aux pillages de tombes dont les biens litigieux sont issus; elle doit donc être considérée comme étrangère à l'infraction ayant donné lieu à la demande d'entraide. Par ailleurs, l'Etat italien n'a pas garanti la créance que fait valoir la recourante.</w:t>
      </w:r>
    </w:p>
    <w:p>
      <w:r>
        <w:t>Il y a donc lieu d'examiner si la recourante a acquis des droits sur la marchandise litigieuse.</w:t>
      </w:r>
    </w:p>
    <w:p>
      <w:r>
        <w:rPr>
          <w:b/>
        </w:rPr>
        <w:t>E. 4.3.1</w:t>
      </w:r>
    </w:p>
    <w:p>
      <w:r>
        <w:t>B. SA et F. SA ont passé une convention par laquelle la première conserve les biens litigieux au nom de la seconde, contre rémunération. Par la suite, la recourante s'est substituée à B. SA, comme le démontre le certificat de prise en charge qu'elle a adressé à la fiduciaire G. le 27 juillet 2001 (let. D); cela n'est du reste pas contesté. Etant donné que F. SA est une société panaméenne, il sied de déterminer le droit applicable à la convention.</w:t>
      </w:r>
    </w:p>
    <w:p>
      <w:r>
        <w:rPr>
          <w:b/>
        </w:rPr>
        <w:t>E. 4.3.1.1</w:t>
      </w:r>
    </w:p>
    <w:p>
      <w:r>
        <w:t>Les pièces figurant au dossier ne permettent pas d'admettre que les parties au contrat se sont entendues, au sens de l'art. 116 LDIP, sur ce point. On ignore en particulier si des conditions générales d'affaires ont valablement été intégrées à la convention et, le cas échéant, lesquelles (le certificat de prise en charge du 27 juillet 2001 mentionne celles de l'Association H., tandis que la recourante a produit en annexe à son mémoire du 17 août 2015 celles de l'Association I. [act. 1.9]).</w:t>
      </w:r>
    </w:p>
    <w:p>
      <w:r>
        <w:rPr>
          <w:b/>
        </w:rPr>
        <w:t>E. 4.3.1.2</w:t>
      </w:r>
    </w:p>
    <w:p>
      <w:r>
        <w:t>C'est donc sur la base de l'art. 117 LDIP que la question doit être tranchée. Est ainsi applicable le droit de l'Etat avec lequel la convention présente les liens les plus étroits (art. 117 al. 1 LDIP) – soit, lorsque le contrat a été conclu comme en l'espèce dans l'exercice d'une activité professionnelle ou commerciale, celui dans lequel la partie qui doit fournir la prestation caractéristique a son établissement (art. 117 al. 2 LDIP).</w:t>
      </w:r>
    </w:p>
    <w:p>
      <w:r>
        <w:rPr>
          <w:b/>
        </w:rPr>
        <w:t>E. 4.3.1.3</w:t>
      </w:r>
    </w:p>
    <w:p>
      <w:r>
        <w:t>Les parties à la convention en cause ont désigné celle-ci comme un contrat d'entreposage (act. 1.9, passim), qualification qui ne prête pas le flanc à la critique au regard des engagements respectifs pris en l'occurrence. Compte tenu des importantes similarités que présente ce type d'accord avec le contrat de dépôt – traités tous deux par le législateur au titre dix- neuvième du CO (art. 472 à 491), intitulé "[d]u dépôt" –, il y a lieu d'appliquer par analogie l'art. 117 al. 3 let. d LDIP, selon lequel la prestation caractéristique est dans le contrat de dépôt celle du dépositaire. Partant,</w:t>
      </w:r>
    </w:p>
    <w:p>
      <w:r>
        <w:t>- 7 -</w:t>
      </w:r>
    </w:p>
    <w:p>
      <w:r>
        <w:t>c'est l'entrepositaire, soit en l'espèce la recourante, qui fournit la prestation caractéristique. Etant donné que l'intéressée a son siège à Z. (GE; cf. act. 1.2), le droit suisse est applicable au contrat.</w:t>
      </w:r>
    </w:p>
    <w:p>
      <w:r>
        <w:rPr>
          <w:b/>
        </w:rPr>
        <w:t>E. 4.3.2.1</w:t>
      </w:r>
    </w:p>
    <w:p>
      <w:r>
        <w:t>L'art. 485 al. 3 CO prévoit, sous le titre marginal "[d]roits de l'entrepositaire", que les créances de celui-ci sont garanties par un droit de rétention sur les marchandises, aussi longtemps qu'il est en possession de celles-ci ou qu'il en peut disposer au moyen du titre qui les représente.</w:t>
      </w:r>
    </w:p>
    <w:p>
      <w:r>
        <w:rPr>
          <w:b/>
        </w:rPr>
        <w:t>E. 4.3.2.2</w:t>
      </w:r>
    </w:p>
    <w:p>
      <w:r>
        <w:t>Les biens litigieux sont en possession de la recourante, de sorte que celle- ci est au bénéfice d'un droit de rétention. Ce dernier est un droit réel, catégorie précisément visée par l'art. 74a al. 4 EIMP (ATF 123 II 595 consid. 6b/aa p. 613 et les références citées; HARARI, Remise internationale d'objets et valeurs, réflexions à l'occasion de la modification de l'EIMP, in: Etudes en l'honneur de Dominique Poncet, Genève 1997, p. 188). Ainsi, la recourante a acquis sur ladite marchandise des droits, au sens de cette disposition légale.</w:t>
      </w:r>
    </w:p>
    <w:p>
      <w:r>
        <w:t>Reste à déterminer si l'intéressée a rendu vraisemblable qu'elle l'a fait de bonne foi.</w:t>
      </w:r>
    </w:p>
    <w:p>
      <w:r>
        <w:rPr>
          <w:b/>
        </w:rPr>
        <w:t>E. 4.4.1</w:t>
      </w:r>
    </w:p>
    <w:p>
      <w:r>
        <w:t>La notion de bonne foi au sens de l'art. 74a al. 4 EIMP est la même que celle de l'art. 70 al. 2 CP. Ce dernier dispose (en reprenant le texte de l'art. 59 ch. 1 al. 2 aCP) que ["l]a confiscation n'est pas prononcée lorsqu'un tiers a acquis les valeurs dans l'ignorance des faits qui l'auraient justifiée […]" (MICHAEL AEPLI, Basler Kommentar, Internationales Strafrecht 2015, n° 61 ad art. 74a EIMP; HARARI, op. cit., p. 192 s.). Dès que le tiers sait ou ne peut pas ignorer que les valeurs sont le résultat de l'infraction, il n'est pas protégé (DUPUIS ET AL., Petit Commentaire du Code pénal, Bâle 2012, n° 21 ad art. 70 CP); tel est notamment le cas lorsque, bien que n'étant pas receleur, il aura agi alors qu'il savait que les valeurs partimoniales acquises étaient le résultat ou la rétribution d'une infraction ou qu'il aurait, au vu des circonstances, dû le présumer (Message du Conseil fédéral concernant la modification du code pénal suisse et du code pénal militaire du 30 juin 1993 [introduisant notamment l'art. 59 aCP cité plus haut], FF 1993 III 269, 301). L'ensemble des circonstances doit être pris en considération, notamment la possibilité qu'avait le tiers d'obtenir des renseignements (cf. [s'agissant d'objets d'art] ATF 123 II 134, consid. 6 et [plus généralement] FLORIAN BAUMANN, Basler Kommentar, Strafrecht I, 3e éd., Bâle 2013, n° 58 ad art. 70/71 CP). La connaissance des organes – de fait et de droit – d'une société est imputée à cette dernière (arrêt du Tribunal pénal fédéral</w:t>
      </w:r>
    </w:p>
    <w:p>
      <w:r>
        <w:t>- 8 -</w:t>
      </w:r>
    </w:p>
    <w:p>
      <w:r>
        <w:t>BB.2010.71-75 du 18 février 2011, consid. 5.2 et 5.3; FLORIAN BAUMANN, ibidem).</w:t>
      </w:r>
    </w:p>
    <w:p>
      <w:r>
        <w:rPr>
          <w:b/>
        </w:rPr>
        <w:t>E. 4.4.2</w:t>
      </w:r>
    </w:p>
    <w:p>
      <w:r>
        <w:t>Il convient donc de se demander si la recourante – respectivement C., qui en est le membre fondateur et l'associé gérant unique – aurait dû présumer au vu des circonstances que les biens litigieux étaient le résultat de fouilles illégales.</w:t>
      </w:r>
    </w:p>
    <w:p>
      <w:r>
        <w:rPr>
          <w:b/>
        </w:rPr>
        <w:t>E. 4.4.3</w:t>
      </w:r>
    </w:p>
    <w:p>
      <w:r>
        <w:t>En mars 2001, E. a demandé à C., responsable à l'époque du département D. de B. SA, d'entreposer 45 caisses détenues jusque-là par J. SA, alors que les locaux des deux sociétés précitées se trouvaient dans un même bâtiment sis aux Ports-Francs de Genève, à des étages différents (act. 1.6). Précisant que les coffres en question renfermaient des antiquités, le marchand anglais a fait établir le contrat d'entreposage au nom d'une société offshore, représentée par une fiduciaire sise à Genève. Il n'a pas demandé à B. SA de faire assurer les biens en question (act. 9, p. 3) et n'a pas dressé un inventaire de ceux-ci, alors qu'il s'agit-là pour l'entreposant des précautions les plus élémentaires dans un tel contexte pour se prémunir contre tout éventuel dommage. Ce comportement pour le moins inhabituel, qui pouvait s'expliquer uniquement par une volonté de dissimuler les biens litigieux, respectivement d'empêcher leur traçabilité, devait de toute évidence éveiller les soupçons de C.</w:t>
      </w:r>
    </w:p>
    <w:p>
      <w:r>
        <w:t>A cela s'ajoute qu'au début du mois de juin 2001, un inventaire précis et détaillé de la marchandise litigieuse a été établi – non pas à l'initiative d'une des parties au contrat mais dans le cadre d'une procédure judiciaire initiée par les héritiers du défunt amant de E. à l'encontre de ce dernier (cf. act. 1, p. 4). A partir de ce moment-là, C. savait que deux sarcophages étrusques, dans un excellent état de conservation, figuraient parmi les objets confiés au nom de F. SA. Or, il ne pouvait pas échapper à celui-ci, déjà actif professionnellement depuis plusieurs années dans l'entreposage de biens culturels, qu'une entreprise privée n'est en principe pas habilitée à détenir de tels vestiges archéologiques.</w:t>
      </w:r>
    </w:p>
    <w:p>
      <w:r>
        <w:t>Compte tenu de l'ensemble de ces circonstances, C. devait présumer que la marchandise déposée au nom de F. SA provenait de fouilles illégales, d'autant qu'il ne pouvait quoi qu'il en dise pas ignorer la réputation sulfureuse qu'avait E. à l'époque déjà (il ressort d'un article publié par le journal K. le 13 juillet 2004 [act. 6.1] que le prénommé était une personnalité de tout temps controversée, impliquée à plusieurs reprises dans le commerce de biens exportés illégalement ou volés). Il n'a pourtant pas demandé au marchand anglais de produire des documents propres à établir l'origine des biens en question, alors qu'il aurait eu tout loisir de le faire.</w:t>
      </w:r>
    </w:p>
    <w:p>
      <w:r>
        <w:t>- 9 -</w:t>
      </w:r>
    </w:p>
    <w:p>
      <w:r>
        <w:t>Il s'ensuit que la recourante n'a pas rendu vraisemblable qu'elle a acquis de bonne foi, au sens de l'art. 74a al. 4 EIMP, les droits invoqués. Le grief tiré d'une violation de cette disposition est donc mal fondé.</w:t>
      </w:r>
    </w:p>
    <w:p>
      <w:r>
        <w:rPr>
          <w:b/>
        </w:rPr>
        <w:t>E. 5</w:t>
      </w:r>
    </w:p>
    <w:p>
      <w:r>
        <w:t>Compte tenu de ce qui précède, le recours est mal fondé.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