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RR.2015.228 vom 25. November 2015</w:t>
      </w:r>
    </w:p>
    <w:p>
      <w:r>
        <w:t>Bundesstrafgericht, 2015-11-25, DE</w:t>
      </w:r>
    </w:p>
    <w:p>
      <w:r>
        <w:rPr>
          <w:b/>
        </w:rPr>
        <w:t xml:space="preserve">Quelle: </w:t>
      </w:r>
      <w:r>
        <w:t>https://mcp.opencaselaw.ch/entscheid/bstger_RR.2015.228</w:t>
      </w:r>
    </w:p>
    <w:p>
      <w:r>
        <w:t>FR: TPF RR.2015.228 du 25 novembre 2015</w:t>
      </w:r>
    </w:p>
    <w:p>
      <w:r>
        <w:t>IT: TPF RR.2015.228 del 25 novembre 2015</w:t>
      </w:r>
    </w:p>
    <w:p>
      <w:pPr>
        <w:pStyle w:val="Heading2"/>
      </w:pPr>
      <w:r>
        <w:t>Regeste</w:t>
      </w:r>
    </w:p>
    <w:p>
      <w:r>
        <w:t>Internationale Rechtshilfe in Strafschen an Griechenland.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Oktober 2014 entsprach und in der Folge am 18. März 2015 die im nationalen Strafverfahren gegen A. edierten Bankunterlagen (Konto Stamm- Nr. 1, lautend auf A., bei der B. AG) für das Rechtshilfeverfahren beizog (act. 7.2);</w:t>
      </w:r>
    </w:p>
    <w:p>
      <w:r>
        <w:t>- mit Schlussverfügung vom 16. Juli 2015 die BA die Herausgabe der Unterlagen des Kontos Stamm-Nr. 1, lautend auf A., bei der B. AG anordnete (act. 7.1);</w:t>
      </w:r>
    </w:p>
    <w:p>
      <w:r>
        <w:t>- A., vertreten durch Rechtsanwalt Ilias Bissias, dagegen am 14. August 2015 Beschwerde bei der Beschwerdekammer des Bundesstrafgerichts erhob (act. 1);</w:t>
      </w:r>
    </w:p>
    <w:p>
      <w:r>
        <w:t>- der Beschwerdeführer mit Schreiben vom 20. November 2015 mitteilte, dass er seine Beschwerde zurückziehe (act. 13);</w:t>
      </w:r>
    </w:p>
    <w:p>
      <w:r>
        <w:t>- das Beschwerdeverfahren daher zufolge Rückzugs der Beschwerde als erledigt abzuschreiben ist;</w:t>
      </w:r>
    </w:p>
    <w:p>
      <w:r>
        <w:t>- der Beschwerdeführer, der seine Beschwerde zurückzieht, grundsätzlich als unterliegende Partei zu gelten und folglich gemäss Art. 63 Abs. 1 VwVG i.V.m. Art. 39 Abs. 2 lit. b und Art. 37 Abs. 2 lit. a StBOG die Gerichtskosten zu tragen hat (Entscheide des Bundesstrafgerichts RR.2007.4 vom 6. März 2007 und RR.2007.70 vom 30. Mai 2007);</w:t>
      </w:r>
    </w:p>
    <w:p>
      <w:r>
        <w:t>- die Gerichtsgebühr vorliegend auf Fr. 500.-- anzusetzen ist, unter Anrechnung des entsprechenden Betrags am geleisteten Kostenvorschuss in der Höhe von Fr. 4'000.--; die Bundesstrafgerichtskasse anzuweisen ist, dem</w:t>
      </w:r>
    </w:p>
    <w:p>
      <w:r>
        <w:t>- 3 -</w:t>
      </w:r>
    </w:p>
    <w:p>
      <w:r>
        <w:t>Beschwerdeführer Fr. 3'500.– zurückzuerstatten (vgl. Art. 8 Abs. 3 des Reglements des Bundesstrafgerichts vom 31. August 2010 über die Kosten, Gebühren und Entschädigungen in Bundesstrafverfahren; SR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