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RR.2015.225 vom 10. Dezember 2015</w:t>
      </w:r>
    </w:p>
    <w:p>
      <w:r>
        <w:t>Bundesstrafgericht, 2015-12-10, DE</w:t>
      </w:r>
    </w:p>
    <w:p>
      <w:r>
        <w:rPr>
          <w:b/>
        </w:rPr>
        <w:t xml:space="preserve">Quelle: </w:t>
      </w:r>
      <w:r>
        <w:t>https://mcp.opencaselaw.ch/entscheid/bstger_RR.2015.225</w:t>
      </w:r>
    </w:p>
    <w:p>
      <w:r>
        <w:t>FR: TPF RR.2015.225 du 10 décembre 2015</w:t>
      </w:r>
    </w:p>
    <w:p>
      <w:r>
        <w:t>IT: TPF RR.2015.225 del 10 dicembre 2015</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das Europäische Auslieferungsübereinkommen vom 13. Dezem- ber 1957 (EAUe; SR 0.353.1), das hierzu ergangene zweite Zusatzprotokoll vom 17. März 1978 (ZPII EAUe; SR 0.353.12), welchem beide Staaten bei- getreten sind, sowie der Vertrag vom 13. November 1969 zwischen der Schweizerischen Eidgenossenschaft und der Bundesrepublik Deutschland über die Ergänzung des EAUe und die Erleichterung seiner Anwendung (ZV EAUe; SR 0.353.913.61) massgebend. Ausserdem gelangen die Bestimmungen der Art. 59 ff. des Übereinkommens vom 19. Juni 1990 zur Durchführung des Übereinkommens von Schengen vom 14. Juni 1985 (Schengener Durchführungsübereinkommen, SDÜ; Abl. L 239 vom 22. Sep- tember 2000, S. 19 – 62) zur Anwendung (BGE 136 IV 88 E. 3.1 S. 89), wobei die zwischen den Vertragsparteien geltenden weitergehenden Be- stimmungen aufgrund bilateraler Abkommen unberührt bleiben (Art. 59 Abs. 2 SDÜ).</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Dies gilt auch im Verhältnis zum SDÜ (Art. 1 Abs. 1 lit. a IRSG). Das innerstaatliche Recht gelangt nach dem Günstigkeitsprinzip auch dann zur Anwendung, wenn dieses geringere Anforderungen an die Rechtshilfe stellt (BGE 140 IV 123 E. 2 S. 126; 137 IV 33 E. 2.2.2 S. 40 f.; 136 IV 82 E. 3.1; jeweils m.w.H.). Vorbehalten bleibt die Wahrung der Menschenrechte (BGE 135 IV 212 E. 2.3; 123 II 595 E. 7c S. 617; TPF 2008 24 E. 1.1 S. 26). Auf Beschwerdeverfahren in internatio- nalen Rechtshilfeangelegenheiten sind zudem die Bestimmungen des Bun- desgesetzes vom 20. Dezember 1968 über das Verwaltungsverfahren (Ver- waltungsverfahrensgesetz, VwVG; SR 172.021) anwendbar (Art. 39 Abs. 2</w:t>
      </w:r>
    </w:p>
    <w:p>
      <w:r>
        <w:t>- 5 -</w:t>
      </w:r>
    </w:p>
    <w:p>
      <w:r>
        <w:t>lit. b i.V.m. Art. 37 Abs. 2 lit. a StBOG), wenn das IRSG nichts anderes be- 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Der Auslieferungsentscheid vom 1. Mai 2015 ist dem Beschwerdeführer am 10. Juli 2015 zugestellt worden (act. 5.14), womit die Beschwerde vom 10. August 2014 fristgerecht erhoben worden ist. Der Beschwerdeführer ist als Adressat des Auslieferungsentscheides ohne Weiteres zu dessen An- fechtung legitimiert. Die übrigen Eintretensvoraussetzungen geben zu kei- nen Bemerkungen Anlass. Auf die Beschwerde ist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RR.2015.190 vom 5. November 2015, E. 3; RR.2015.195 vom 20. Oktober 2015, E. 3).</w:t>
      </w:r>
    </w:p>
    <w:p>
      <w:r>
        <w:rPr>
          <w:b/>
        </w:rPr>
        <w:t>E. 4.1</w:t>
      </w:r>
    </w:p>
    <w:p>
      <w:r>
        <w:t>Der Beschwerdeführer hat anlässlich seiner Anhörung vor dem Amtsgericht Straubing vom 14. Januar 2015 u. a. vorgebracht, die Vollstreckung der dem Nachtragsersuchen zugrunde liegenden Strafe müsse verjährt sein (act. 5.12e). Demgegenüber hat der Beschwerdegegner im angefochtenen Entscheid erwogen, es sei aus den Auslieferungsunterlagen ersichtlich, dass die Strafvollstreckungsverjährung noch nicht eingetreten sei (act. 1.1).</w:t>
      </w:r>
    </w:p>
    <w:p>
      <w:r>
        <w:rPr>
          <w:b/>
        </w:rPr>
        <w:t>E. 4.2</w:t>
      </w:r>
    </w:p>
    <w:p>
      <w:r>
        <w:t>Gemäss Art. 10 EAUe wird die Auslieferung nicht bewilligt, wenn nach den Rechtsvorschriften des ersuchenden oder des ersuchten Staates die Straf- verfolgung oder Strafvollstreckung verjährt ist. Die Auslieferung darf jedoch laut Art. IV Abs. 1 ZV EAUe nicht mit der Begründung abgelehnt werden, die Strafverfolgung oder die Strafvollstreckung sei nach den Rechtsvorschriften des ersuchten Staates verjährt.</w:t>
      </w:r>
    </w:p>
    <w:p>
      <w:r>
        <w:t>- 6 -</w:t>
      </w:r>
    </w:p>
    <w:p>
      <w:r>
        <w:t>Art. 5 Abs. 1 lit. c IRSG lautet wie folgt: Einem Ersuchen wird nicht entspro- chen, wenn seine Ausführung Zwangsmassnahmen erfordert und die Straf- verfolgung oder die Vollstreckung nach schweizerischem Recht wegen ab- soluter Verjährung ausgeschlossen wäre. Gemäss der Rechtsprechung ist die Verjährung nach dem Recht des ersuchenden Staates im Anwendungs- bereich von Art. 5 Abs. 1 lit. c IRSG nicht zu prüfen (Urteil des Bundesge- richts 1A.15/2002 vom 5. März 2002, E. 5.1; Entscheide des Bundesstrafge- richts RR.2015.268 vom 23. November 2015, E. 4.2; RR.2013.175 vom 23. Oktober 2013, E. 3.1; RR.2009.284 vom 19. November 2009, E. 4.1.1; RR.2009.117 vom 17. Juni 2009, E. 5.1; a.M. FIOLKA, Basler Kommentar In- ternationales Strafrecht, Basel 2015, Art. 5 IRSG N. 79). Ein Rechtshilfeer- suchen könnte allenfalls abgewiesen werden, wenn offensichtlich wäre, dass im ersuchenden Staat eine Strafverfolgung wegen Verjährung nicht weiter- geführt werden kann (Urteil des Bundesgerichts 1A.249/1999 vom 1. Feb- ruar 2000, E. 3e/aa; Entscheide des Bundesstrafgerichts RR.2008.221 vom</w:t>
      </w:r>
    </w:p>
    <w:p>
      <w:r>
        <w:rPr>
          <w:b/>
        </w:rPr>
        <w:t>E. 4.3</w:t>
      </w:r>
    </w:p>
    <w:p>
      <w:r>
        <w:t>Der Beschwerdeführer wurde mit Urteil des Landgerichts Augsburg vom 30. April 2004 i.V.m. den Urteilen des Amtsgerichts Augsburg vom 20. Au- gust 2003 und 10. Dezember 2003 zu einer Gesamtfreiheitsstrafe von 11 Monaten verurteilt (act. 5.11; 5.12a; 5.12.b; 5.12c). Da die Schweiz die Aus- lieferung nicht mit dem Argument ablehnen kann, wonach die Verjährung nach schweizerischem Recht eingetreten sei (Art. IV Abs. 1 ZV EAUe), ist diese vorliegend nach schweizerischem Recht nicht zu prüfen.</w:t>
      </w:r>
    </w:p>
    <w:p>
      <w:r>
        <w:t>Eine ausser Zweifel stehende Vollstreckungsverjährung nach deutschem Recht, welche das Ersuchen als missbräuchlich erscheinen liesse, ist vorlie- gend nicht ersichtlich. Mithin braucht auch nicht ausnahmsweise geprüft zu werden, ob die Vollstreckungsverjährung nach deutschem Recht eingetreten ist.</w:t>
      </w:r>
    </w:p>
    <w:p>
      <w:r>
        <w:t>- 7 -</w:t>
      </w:r>
    </w:p>
    <w:p>
      <w:r>
        <w:t>5.</w:t>
      </w:r>
    </w:p>
    <w:p>
      <w:r>
        <w:t>5.1 Mit Beschwerde vom 10. August 2015 macht der Beschwerdeführer zusam- menfassend weiter geltend, die mit Urteil des Bezirksgerichts Zürich vom 6. Mai 2013 angeordnete stationär zu vollziehende Suchtbehandlung ge- mäss Art. 60 StGB stehe der angefochtenen Auslieferung entgegen. Das Bundesgericht habe in einem ihn betreffenden Urteil entschieden, dass ein Auslieferungsentscheid nach dem klaren Wortlaut von Art. 49 Abs. 2 IRSG bis zur Beendigung des Massnahmenvollzuges keine (Vor-) Wirkung entfalte (Urteil des Bundesgerichts 6B_399/2014 vom 23. Oktober 2014, E. 3.3). Zu- dem habe die Gewichtung der involvierten Interessen ergeben, dass die Durchführung einer stationären Suchtbehandlung nach Art. 60 StGB gebo- ten sei (E. 7.1). Weil bereits dem ursprünglichen Auslieferungsersuchen wi- derrechtlich Folge geleistet worden sei, könne nichts anderes für das Nach- tragsersuchen vom 16. April 2015 gelten (act. 1). Mit Beschwerdereplik vom</w:t>
      </w:r>
    </w:p>
    <w:p>
      <w:r>
        <w:rPr>
          <w:b/>
        </w:rPr>
        <w:t>E. 9</w:t>
      </w:r>
    </w:p>
    <w:p>
      <w:r>
        <w:t>Juli 2009, E. 8.4; RR.2008.264 vom 9. Juli 2009, E. 9.4; vgl. auch die Urteile des Bundesgerichts 1A.12/2005 vom 9. März 2006, E. 6.2; 1A.184/2005 vom 9. Dezember 2005, E. 2.11; beide jedoch nicht im Anwen- dungsbereich des IRSG).</w:t>
      </w:r>
    </w:p>
    <w:p>
      <w:r>
        <w:t>Mithin stellt Art. 5 Abs. 1 lit. c IRSG in Bezug auf die Verjährung im ersu- chenden Staat im Vergleich zu Art. 10 EAUe geringere Anforderungen an die Auslieferung und gelangt vorliegend gestützt auf das Günstigkeitsprinzip zur Anwendung (Urteil des Bundesgerichts 1A.15/2002 vom 5. März 2002, E. 5.1; Entscheide des Bundesstrafgerichts RR.2015.268 vom 23. Novem- ber 2015, E. 4.2; RR.2013.175 vom 23. Oktober 2013, E. 3.1; RR.2009.117 vom 17. Juni 2009, E. 5.1).</w:t>
      </w:r>
    </w:p>
    <w:p>
      <w:r>
        <w:rPr>
          <w:b/>
        </w:rPr>
        <w:t>E. 11</w:t>
      </w:r>
    </w:p>
    <w:p>
      <w:r>
        <w:t>September 2015 hält der Beschwerdeführer erneut fest, dass ein Hafttitel vorliege, welcher der Auslieferung entgegenstehe. Dass der Beschwerde- gegner hiervon keine Kenntnis gehabt haben will, vermöge an der Rechts- lage nichts zu ändern (act. 10).</w:t>
      </w:r>
    </w:p>
    <w:p>
      <w:r>
        <w:t>Der Beschwerdegegner bringt diesbezüglich vor, die physische Verbringung des Beschwerdeführers nach Deutschland sei gestützt auf eine rechtskräf- tige, schweizerische Auslieferungsbewilligung erfolgt. Sodann macht er gel- tend, Beschwerden gegen kantonale Verfügungen im Zusammenhang mit einem schweizerischen Massnahmenvollzug hätten grundsätzlich keinen Einfluss auf ein Auslieferungsverfahren (act. 1.1, Ziff. II.6). Mit Beschwerde- antwort vom 20. August 2015 hält der Beschwerdegegner fest, nach seinem Wissenstand sei der einzige bzw. letzte schweizerische Hafttitel am 25. Juni 2014 weggefallen (vgl. act. 5.9). Das zitierte Urteil des Bundesge- richts sei ihm nicht zugestellt worden. Dass die Auslieferung widerrechtlich gewesen sein solle, lasse sich diesem überdies nicht entnehmen. Es be- schlage einzig die Aufhebung einer Massnahme nach Art. 60 StGB und nicht die Auslieferung (act. 5).</w:t>
      </w:r>
    </w:p>
    <w:p>
      <w:r>
        <w:t>5.2 Nach gefestigter Praxis der Beschwerdekammer stellt ein in der Schweiz hängiges Strafverfahren resp. der Vollzug einer ausgesprochenen Strafe oder Massnahme per se kein Auslieferungshindernis dar (Entscheide des Bundesstrafgerichts RR.2010.290 vom 16. Mai 2011, E. 10; RR.2010.188 vom 11. Oktober 2010, E. 4; RR.2009.170 vom 29. Juli 2009, E. 7.2; RR.2009.14 vom 24. Februar 2009, E. 3; GLESS/ECHLE, Basler Kommentar Internationales Strafrecht, Basel 2015, Art. 58 IRSG N. 4). Eine in der Schweiz zu verbüssende Massnahme kann höchstens einen Aufschub der</w:t>
      </w:r>
    </w:p>
    <w:p>
      <w:r>
        <w:t>- 8 -</w:t>
      </w:r>
    </w:p>
    <w:p>
      <w:r>
        <w:t>Auslieferung bewirken. Der Entscheid darüber fällt in das Ermessen der zu- ständigen Behörde und ist bei dieser zu beantragen, kommt indessen hier – wie nachstehend dargetan wird – schon aufgrund der konkreten Umstände nicht (mehr) in Frage.</w:t>
      </w:r>
    </w:p>
    <w:p>
      <w:r>
        <w:t>5.3 Die Feststellung, dass der Vollzug strafrechtlicher Sanktionen einer Auslie- ferung nicht grundsätzlich im Wege steht, wird durch die im bundesgerichtli- chen Urteil 6B_399/2014 vom 23. Oktober 2014 getroffenen Feststellungen nicht berührt. Dieses hat in E. 2 ausdrücklich festgehalten, dass es sich nicht mit der Frage zu befassen habe, ob die stationäre Suchtbehandlung ange- sichts der anstehenden Auslieferung grundsätzlich überhaupt sinnvoller- weise in der Schweiz durchzuführen sei. Es hat damit unterstrichen, dass die Durchführung der Suchtbehandlung grundsätzlich vom Verbleib des Be- schwerdeführers in der Schweiz abhängt und nicht, dass umgekehrt die Suchtbehandlung einer Auslieferung vorgehe. Dem Beschwerdeführer ist immerhin zu Gute zu halten, dass sich die Tragweite der von ihm angeführ- ten E. 3.3 des Urteils aufgrund der gewählten Terminologie effektiv erst bei näherem Hinsehen schlüssig einordnen lässt: Es entspricht dem klaren Wortlaut von Art. 49 Abs. 2 IRSG, dass ein Auslieferungshaftbefehl bis zur Beendigung des Massnahmenvollzuges keine Vorwirkung entfaltet. Der Aus- lieferungshaftbefehl (Art. 47 ff. IRSG) ist jedoch weder in seinem Inhalt noch in seinen Wirkungen dem Auslieferungsentscheid (Art. 55 ff. IRSG) gleich- zusetzen. Art. 49 Abs. 2 IRSG kann im vorliegenden Verfahren indes bereits deshalb nicht (mehr) einschlägig sein, weil sich der Beschwerdeführer be- reits im Ausland befindet, er mithin gar nicht mehr in der Schweiz zwecks zu erfolgender Auslieferung inhaftiert werden könnte. Die Norm wirkt nämlich nur in einem früheren Verfahrensstadium und beschlägt das Verhältnis zweier verschiedener Haftarten – der verwaltungsrechtlichen Auslieferungs- und der Strafhaft (bzw. der strafrechtlichen stationären Massnahme) – so- fern für beide gleichzeitig ein Hafttitel gegeben ist. Der Vollzug der strafrecht- lichen Sanktion geht deswegen vor, weil es sich bei der Auslieferungshaft um eine administrative Zwangsmassnahme handelt, welche primär der Si- cherstellung der Zwecke des Auslieferungsverfahrens und dabei nicht zuletzt der Bannung der Fluchtgefahr dient (FORSTER, Basler Kommentar Internati- onales Strafrecht, Basel 2015, Art. 47 IRSG N. 1). Wird ihre Funktion durch die gleichzeitige Strafhaft des Auszuliefernden bereits erfüllt, rückt Art. 49 Abs. 2 IRSG sie mangels Erforderlichkeit als gesetzliche Ausprägung des Verhältnismässigkeitsprinzips in den Hintergrund. Infolgedessen geht nach klarem Wortlaut von Art. 49 Abs. 2 IRSG auch nicht jede strafrechtliche Sanktion der Auslieferungshaft vor, sondern nur Untersuchungs- oder Straf- haft (bzw. der stationäre Massnahmenvollzug).</w:t>
      </w:r>
    </w:p>
    <w:p>
      <w:r>
        <w:t>- 9 -</w:t>
      </w:r>
    </w:p>
    <w:p>
      <w:r>
        <w:t>Entsprechend ist an dieser Stelle hervorzuheben, dass sich die bundesge- richtlichen Erwägungen ausschliesslich auf das Verhältnis zwischen den ge- nannten Haftarten beziehen: So wird in E. 3.3 des Urteils (zwar in uneinheit- licher Terminologie) festgestellt, dass der Auslieferungshaftbefehl aufgrund seiner Subsidiarität nur dann zu beachten ist, wenn keine freiheitsentzie- hende strafrechtliche Sanktion seinen Zweck erfüllt, um anschliessend in E. 4 konkret zu prüfen, ob nach deren Wegfall die drohende Auslieferung einen Fluchtgrund setzt, der die Anordnung sichernder, verwaltungsrechtli- cher Auslieferungshaft wieder notwendig macht (vgl. Art. 47 Abs. 1 lit. a IRSG). Dies verneinte das Bundesgericht unter Verweis auf strafprozessuale Ersatzmassnahmen, womit es der Durchführung der Suchtbehandlung in ei- nem teilweise offenen (d.h. nicht sichernden) Vollzugsrahmen den Weg eb- nete (E. 4.4; E. 5).</w:t>
      </w:r>
    </w:p>
    <w:p>
      <w:r>
        <w:t>5.4 Demgegenüber hat das Bundesgericht nirgends erwogen, dass das Auslie- ferungsverfahren als solches bei pendenter strafrechtlicher Sanktion (sei diese sichernder oder nicht sichernder Natur) nicht parallel fortzuführen wäre. Dieses mündet unabhängig vom Vorliegen eines Hafttitels in einem Auslieferungsentscheid, welcher sich über die spätere Verbringung der ver- folgten Person in den ersuchenden Staat ausspricht. Das Verhältnis zwi- schen gutheissendem Auslieferungsentscheid und vorbestehender Sanktion wird sodann von Art. 58 IRSG geregelt, welcher den (Ermessens-) Entscheid über einen allfälligen Aufschub der Auslieferung dem BJ anheimstellt (vgl. auch Art. 19 Ziff. 1 EAUe).</w:t>
      </w:r>
    </w:p>
    <w:p>
      <w:r>
        <w:t>Anfechtungsobjekt des vorliegenden Beschwerdeverfahren ist unstrittig ein Auslieferungsentscheid i.S. der Art. 55 ff. IRSG, dessen Gültigkeit nach dem Gesagten weder durch die Tatsache, dass allenfalls in der Schweiz noch ein Hafttitel gegen den Beschwerdeführer bestehen könnte, noch durch die üb- rigen im Urteil des Bundesgerichtes 6B_399/2014 vom 23. Oktober 2014 festgehaltenen Erwägungen eingeschränkt wird. Nachdem der Beschwerde- führer bereits im Rahmen eines früheren Verfahrens an Deutschland ausge- liefert worden ist, erweist sich auch die Prüfung, ob der Vollzug des Nach- tragsersuchens aufzuschieben sei, aus faktischen Gründen als obsolet.</w:t>
      </w:r>
    </w:p>
    <w:p>
      <w:r>
        <w:t>5.5 Schliesslich kann die Widerrechtlichkeit des Nachtragsentscheides auch nicht, wie vom Beschwerdeführer behauptet, aus einer Überprüfung des ur- sprünglichen Auslieferungsentscheides vom 22. Dezember 2011 abgeleitet werden. Trotz gewisser inhaltlicher Berührungspunkte handelt es sich um zwei voneinander unabhängige Verwaltungsverfahren, die auf unterschiedli- chen Sachverhaltselementen beruhen und von anderen Rechtsregeln gelei-</w:t>
      </w:r>
    </w:p>
    <w:p>
      <w:r>
        <w:t>- 10 -</w:t>
      </w:r>
    </w:p>
    <w:p>
      <w:r>
        <w:t>tet werden. Der Entscheid vom 22. Dezember 2011 blieb nach den unbestrit- tenen Ausführungen der Vorinstanz unangefochten. Im vorliegenden Rechtsmittelverfahren scheidet dessen inhaltliche Kontrolle aus.</w:t>
      </w:r>
    </w:p>
    <w:p>
      <w:r>
        <w:t>5.6 Im Übrigen hat der Beschwerdeführer keine Auslieferungshindernisse gel- tend gemacht. Die Beschwerde ist demnach abzuweisen.</w:t>
      </w:r>
    </w:p>
    <w:p>
      <w:r>
        <w:t>6. Bei diesem Ausgang des Verfahrens würde der Beschwerdeführer ange- sichts seines Unterliegens grundsätzlich kostenpflichtig (Art. 63 Abs. 1 VwVG). Mit Eingabe vom 3. September 2015 bzw. vom 11. September 2015 hat er um Gewährung des Rechts zur unentgeltlichen Rechtspflege ersucht (act. 8 und 10).</w:t>
      </w:r>
    </w:p>
    <w:p>
      <w:r>
        <w:t>6.1 Die Beschwerdekammer bestellt einer Partei, die nicht über die erforderli- chen Mittel verfügt, auf Antrag einen Anwalt, wenn es zur Wahrung ihrer Rechte notwendig ist, sofern ihr Begehren nicht aussichtslos erscheint (Art. 65 Abs. 1 und 2 VwVG). Diese Regelung ist Ausfluss von Art. 29 Abs. 3 BV. Gemäss der bundesgerichtlichen Rechtsprechung sind Prozessbegeh- ren als aussichtslos anzusehen, wenn die Gewinnaussichten beträchtlich ge- ringer erscheinen als die Verlustgefahren. Dagegen gilt ein Begehren nicht als aussichtslos, wenn sich Gewinnaussichten und Verlustgefahren ungefähr die Waage halten oder jene nur wenig geringer sind als diese (BGE 139 III 475 E. 2.2 S. 476 f.; 139 III 396 E. 1.2; 138 III 217 E. 2.2.4; jeweils m.w.H.).</w:t>
      </w:r>
    </w:p>
    <w:p>
      <w:r>
        <w:t>6.2 Die Bedürftigkeit des Beschwerdeführers erscheint ausgewiesen (act. 10, 10.1, 10.1.1). Die Beschwerde war zudem nicht von vornherein aussichtslos, weshalb das Gesuch um unentgeltliche Rechtspflege sowie Verbeiständung in der Person von Rechtsanwalt Michael Lauper gutzuheissen und auf die Erhebung einer Gerichtsgebühr zu verzichten ist.</w:t>
      </w:r>
    </w:p>
    <w:p>
      <w:r>
        <w:t>6.3 Das Honorar des amtlichen Rechtsbeistandes wird im Verfahren vor der Be- schwerdekammer nach Ermessen festgesetzt, wenn spätestens mit der ein- zigen oder letzten Eingabe keine Kostennote eingereicht wird (Art. 12 Abs. 2 des Reglements des Bundesstrafgerichts vom 31. August 2010 über die Kosten, Gebühren und Entschädigungen in Bundesstrafverfahren [BStKR; SR 173.713.162]). Vorliegend erscheint eine Entschädigung von Fr. 2'500.– inkl. MwSt. als angemessen. Gelangt der Beschwerdeführer später zu hin- reichenden Mitteln, so ist er verpflichtet, diesen Betrag der Kasse des Bun- desstrafgerichts zurückzuerstatten (Art. 65 Abs. 4 VwVG).</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