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RR.2015.206 vom 13. Oktober 2015</w:t>
      </w:r>
    </w:p>
    <w:p>
      <w:r>
        <w:t>Bundesstrafgericht, 2015-10-13, IT</w:t>
      </w:r>
    </w:p>
    <w:p>
      <w:r>
        <w:rPr>
          <w:b/>
        </w:rPr>
        <w:t xml:space="preserve">Quelle: </w:t>
      </w:r>
      <w:r>
        <w:t>https://mcp.opencaselaw.ch/entscheid/bstger_RR.2015.206</w:t>
      </w:r>
    </w:p>
    <w:p>
      <w:r>
        <w:t>FR: TPF RR.2015.206 du 13 octobre 2015</w:t>
      </w:r>
    </w:p>
    <w:p>
      <w:r>
        <w:t>IT: TPF RR.2015.206 del 13 ottobre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w:t>
      </w:r>
    </w:p>
    <w:p>
      <w:r>
        <w:t>- 4 -</w:t>
      </w:r>
    </w:p>
    <w:p>
      <w:r>
        <w:t>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consid. 3.1; 135 IV 212 consid. 2.3; 123 II 134 consid. 1a; 122 II 140 consid. 2). Il prin- cipio di favore vale anche nell'applicazione delle pertinenti norme di diritto inter- 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par- ziale dell’autorità federale d’esecuzione, il ricorso è ricevibile sotto il profilo degli art. 25 cpv. 1, 80e cpv. 1 e 80k AIMP. Nella misura in cui la perquisizione ed il sequestro è avvenuto nei suoi uffici, la ricorrente, detentrice della documenta- zione litigiosa, è legittimate a ricorrere (v. art. 9a lett. b OAIMP; TPF 2007 79 consid. 1.6 pag. 82).</w:t>
      </w:r>
    </w:p>
    <w:p>
      <w:r>
        <w:rPr>
          <w:b/>
        </w:rPr>
        <w:t>E. 2</w:t>
      </w:r>
    </w:p>
    <w:p>
      <w:r>
        <w:t>La ricorrente invoca innanzitutto la violazione del diritto di essere sentita: da una parte, la decisione impugnata sarebbe carente di motivazione, dall'altra, essa sarebbe stata esclusa dall'operazione di cernita della documentazione seque- strata.</w:t>
      </w:r>
    </w:p>
    <w:p>
      <w:r>
        <w:rPr>
          <w:b/>
        </w:rPr>
        <w:t>E. 2.1</w:t>
      </w:r>
    </w:p>
    <w:p>
      <w:r>
        <w:t>e 2.3 con rinvii; sentenza del Tribunale penale federale RR.2012.91-92 del 18 luglio 2012, consid. 2). Alla luce di ciò non vi è luogo di considerare che il MP/TI abbia violato il diritto di essere sentito della ricorrente. Disponendo inoltre la scrivente autorità di pieno potere cognitivo in fatto e in diritto (TPF 2007 57) e avendo avuto la ricorrente in questa sede ampia facoltà di esprimersi, un'e- ventuale violazione del predetto diritto sarebbe stata comunque sanata dalla presente procedura (v. DTF 124 II 132 consid. 2d; sentenze del Tribunale fede- rale 1C_525/2008 e 1C_526/2008 del 28 novembre 2008, consid. 1.3 nonché 1A.54/2004 del 30 aprile 2004; TPF 2008 172 consid. 2.3; ZIMMERMANN, op. cit., n. 472). Ne discende che la censura, infondata, deve essere respinta.</w:t>
      </w:r>
    </w:p>
    <w:p>
      <w:r>
        <w:t>- 7 -</w:t>
      </w:r>
    </w:p>
    <w:p>
      <w:r>
        <w:rPr>
          <w:b/>
        </w:rPr>
        <w:t>E. 2.1.1</w:t>
      </w:r>
    </w:p>
    <w:p>
      <w:r>
        <w:t>Il diritto di essere sentito, ancorato all’art. 29 cpv. 2 Cost., viene concretizzato nell’ambito dell’assistenza giudiziaria internazionale agli art. 29 e segg. PA ri- chiamato l’art. 12 cpv. 1 AIMP (ROBERT ZIMMERMANN, La coopération judiciaire internationale en matière pénale, 4a ediz., Berna 2014, n. 472). Esso è di natura formale (DTF 126 I 19 consid. 2d/bb pag. 24; 125 I 113 consid. 3; MICHELE ALBERTINI, Der verfassungsmässige Anspruch auf rechtliches Gehör im Verwal- tungsverfahren des modernen Staates, tesi di laurea, Berna 2000, pag. 449 con rinvii). Una violazione di questo diritto fondamentale da parte dell’autorità d’ese- cuzione non comporta comunque automaticamente l’accoglimento del gravame e l’annullamento della decisione impugnata.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1C_525/2008 e 1C_526/2008 del 28 novembre 2008, consid. 1.3 nonché 1A.54/2004 del 30 aprile 2004; TPF 2008 172 consid. 2.3; ZIMMERMANN, op. cit., n. 472).</w:t>
      </w:r>
    </w:p>
    <w:p>
      <w:r>
        <w:t>- 5 -</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121 I 54 consid. 2; 117 Ib 481 consid. 6b/bb, nonché più ampiamente ALBERTINI, op. cit.,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sentenza del Tribunale fede- rale 1B_380/2010 del 14 marzo 2011, consid. 3.2.1).</w:t>
      </w:r>
    </w:p>
    <w:p>
      <w:r>
        <w:rPr>
          <w:b/>
        </w:rPr>
        <w:t>E. 2.1.2</w:t>
      </w:r>
    </w:p>
    <w:p>
      <w:r>
        <w:t>In concreto, va constatato che nella decisione impugnata il MPC, dopo aver descritto a grandi linee i fatti oggetto d'inchiesta in Italia (v. act. 1.1 pag. 3 e seg.), ha evidenziato i motivi che hanno portato ad ordinare la trasmissione della documentazione rinvenuta presso i locali della I. SA, locali che contenevano ugualmente la documentazione della società ricorrente ed in apparente stretto legame con la predetta (nel rapporto di esecuzione del 21 maggio 2013 [v. atto 19 incarto MP/TI], la A. SA è indicata come ex I. SA). L'autorità d'esecuzione ha affermato che B. avrebbe affidato parte dei propri proventi illeciti dei reati di cui è accusato a società fiduciarie, anche al fine di schermarne la provenienza. Quanto precede, unitamente ai rinvii ai vari complementi rogatoriali italiani (v. atti 3, 5, 9 e 42 incarto MP/TI), doveva permettere, ed ha in realtà permesso alla ricorrente, come testimonia anche l'articolata impugnativa (dieci pagine), di rendersi conto della portata del provvedimento contestato, proprio come richie- sto dalla giurisprudenza in materia (v. consid. 2.1). Lamentandosi a torto di una carenza di motivazione, la censura in questo ambito va respinta.</w:t>
      </w:r>
    </w:p>
    <w:p>
      <w:r>
        <w:rPr>
          <w:b/>
        </w:rPr>
        <w:t>E. 2.2.1</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di partecipare all'assunzione delle prove essenziali o, perlomeno, di esprimersi sul loro risultato allorquando ciò può avere un influsso sulla decisione che verrà resa (DTF 124 II 132 consid. 2b e riferimenti citati). Nell’ambito dell’assistenza giudiziaria internazionale esso è concretizzato agli art. 29 e segg. della legge federale sulla procedura ammini- strativa del 20 dicembre 1968 [PA; RS 172.021] richiamato l’art. 12 cpv. 1 AIMP (ZIMMERMANN, op. cit., n. 472). Esso è di natura formale (DTF 126 I 19 consid.</w:t>
      </w:r>
    </w:p>
    <w:p>
      <w:r>
        <w:t>- 6 -</w:t>
      </w:r>
    </w:p>
    <w:p>
      <w:r>
        <w:t>2d/bb pag. 24; 125 I 113 consid. 3; ALBERTINI, op. cit., pag. 449 con rinvii). L'au- torità di esecuzione, dopo aver concesso al detentore della documentazione la possibilità di addurre i motivi che si opporrebbero alla trasmissione di determi- nati atti e la facoltà di partecipare alla necessaria cernita, ha l'obbligo di motivare accuratamente la decisione di chiusura (DTF 130 II 14 consid. 4.4 pag. 18). Essa non potrebbe infatti ordinare in modo acritico e indeterminato la trasmis- sione dei documenti, delegandone tout court la selezione agli inquirenti esteri (DTF 127 II 151 consid. 4c/aa pag. 155; 122 II 367 consid. 2c; 112 Ib 576 consid. 14a pag. 604).</w:t>
      </w:r>
    </w:p>
    <w:p>
      <w:r>
        <w:rPr>
          <w:b/>
        </w:rPr>
        <w:t>E. 2.2.2</w:t>
      </w:r>
    </w:p>
    <w:p>
      <w:r>
        <w:t>Nella fattispecie, v'è da rilevare che la società ricorrente era dai tempi della per- quisizione dei suoi locali, ossia dal maggio 2013, al corrente della procedura in corso. Nel rapporto di esecuzione della perquisizione del 21 maggio 2013 viene espressamente menzionato l'incarto rogatoriale ROG.2013.50 (v. atto 19 in- carto MP/TI). Essa stessa afferma nel gravame di aver preteso, al momento della perquisizione, l'apposizione di sigilli sulla propria documentazione in quanto non pertinente né per l'indagine penale svizzera né per la procedura rogatoriale. Essa ha aggiunto che "ne conseguì la levata dei sigilli, come richie- sto dal PP, ma con mantenimento del sequestro e soprattutto l'impegno del PP di procedere all'esame ed alla cernita dei documenti, in vista di decidere circa la trasmissione o meno in ambito rogatoriale" (v. act. 1 pag. 6). Ora, a partire da quel momento la società ricorrente aveva la possibilità di accedere a quella documentazione e di esprimersi sull'utilità o meno della stessa per l'inchiesta estera, restando tuttavia passiva. Va a tal proposito rilevato che la persona toc- cata da una misura d'assistenza non può accontentarsi di assumere un'attitu- dine passiva quando sa che delle misure di assistenza sono state adottate e che una decisione di trasmissione è imminente. In ossequio al principio della buona fede (art. 5 cpv. 3 Cost.), ella deve intervenire presso l'autorità d'esecu- zione, cercare di conoscere gli atti di cui è prevista la trasmissione ed indicare precisamente quali di questi non dovrebbero essere trasmessi all'autorità estera (v. sentenza del Tribunale federale 1A.160/2003 del 10 settembre 2003, consid.</w:t>
      </w:r>
    </w:p>
    <w:p>
      <w:r>
        <w:rPr>
          <w:b/>
        </w:rPr>
        <w:t>E. 3</w:t>
      </w:r>
    </w:p>
    <w:p>
      <w:r>
        <w:t>La società ricorrente lamenta una violazione del principio della proporzionalità, affermando che la documentazione sequestrata non avrebbe nessuna utilità per il procedimento estero. Essa non avrebbe avuto nessun legame né con la banca Banca C. né con B. Le differenti rogatorie italiane non farebbero del resto alcun specifico riferimento alla ricorrente.</w:t>
      </w:r>
    </w:p>
    <w:p>
      <w:r>
        <w:rPr>
          <w:b/>
        </w:rPr>
        <w:t>E. 3.1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Inoltre, da consolidata prassi, quando le autorità estere chiedono informazioni nell'ambito di procedi- menti per reati patrimoniali esse necessitano di regola di tutti i documenti per sapere a quali persone o entità giuridiche sono coinvolte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natura stessa di dette inchieste rende verosimile la necessità di acqui- sire l'integralità della documentazione, in modo tale da chiarire con sufficiente ampiezza diacronica l'origine e la destinazione dei flussi monetari sospetti. La trasmissione dell'intera documentazione potrà evitare altresì l'inoltro di eventuali domande complementari (DTF 136 IV 82 consid. 4.1; 121 II 241 consid. 3; sen- tenza del Tribunale federale 1C_486/2008 dell'11 novembre 2008, consid. 2.4; sentenza del Tribunale penale federale RR.2011.113 del 28 luglio 2011, consid. 4.2). In base alla giurisprudenza l'esame va limitato alla cosiddetta utilità poten- ziale, secondo cui la consegna giusta l'art. 74 AIMP è esclusa soltanto per quei mezzi di prova certamente privi di rilevanza per il procedimento penale all'estero (DTF 126 II 258 consid. 9c; 122 II 367 consid. 2c; 121 II 241 consid. 3a e b).</w:t>
      </w:r>
    </w:p>
    <w:p>
      <w:r>
        <w:rPr>
          <w:b/>
        </w:rPr>
        <w:t>E. 3.2</w:t>
      </w:r>
    </w:p>
    <w:p>
      <w:r>
        <w:t>In concreto, l'autorità rogante considera B. al centro delle presunte attività ille- cite oggetto dell'indagine estera (v. supra lett. A). Come rettamente rilevato dall'autorità di esecuzione, con la più recente richiesta rogatoriale dell'11 marzo 2015 l'autorità italiana ha dichiarato che "le investigazioni svolte – e ancora in essere – hanno permesso di constatare come B. abbia affidato parte dei propri</w:t>
      </w:r>
    </w:p>
    <w:p>
      <w:r>
        <w:t>- 8 -</w:t>
      </w:r>
    </w:p>
    <w:p>
      <w:r>
        <w:t>proventi illeciti a società fiduciarie, anche al fine di schermarne la reale prove- nienza; tra queste figurano le società elvetiche I. SA. e J. SA Quest'ultima, in particolare, risulta detenere partecipazioni nell'italiana K. S.p.A. È fondamentale per le indagini conoscere chi sia il beneficiario finale delle partecipazioni sopra- citate al fine di riscontrare se dette partecipazioni si riferiscono ad una posizione accesa presso J. SA da B. o da persone a lui riconducibili" (v. atto 127 pag. 5 incarto MP/TI). L'autorità rogante ha pure segnalato alcuni nominativi emersi nell'ambito delle investigazioni risultati, a suo dire, soggetti chiave nella gestione del patrimonio di B. in J. SA, ossia L., M. e N. Essa ha aggiunto che "in partico- lare dalle acquisizioni svolte in Italia presso la O., dalle banche dati delle forze di polizia, dalle dichiarazioni rese da B. innanzi a Codesta Autorità e da quelle rese da P. (sia di fronte a Codesta Autorità che alla scrivente Procura) è emerso il ruolo di L. quale socio del P. nella J. SA e nella I. SA. Analogamente è a dirsi in ordine al ruolo di M. e della sua stretta collaboratrice N. come confermato dagli esiti di ulteriori rogatorie svolte, in particolare in Lussemburgo" (v. atto 127 pag. 5 e seg. incarto MP/TI). Ora, visto quanto precede nonché la stretta vici- nanza tra I. SA e la società ricorrente, la documentazione sequestrata presso l'insorgente presenta senz'altro un'utilità potenziale per l'inchiesta estera. So- spettando che la predetta possa essere stata utilizzata per nascondere valori patrimoniali di presunta provenienza illecita, occorre poter analizzare tutta la documentazione rinvenuta presso i suoi uffici, per ricostruire i flussi di denaro e per verificare l'eventuale ruolo di prestanome di terze persone apparentemente non coinvolte nella vicenda delittuosa.</w:t>
      </w:r>
    </w:p>
    <w:p>
      <w:r>
        <w:t>Quanto precede permette quindi di confermare la sufficiente relazione tra le mi- sure d'assistenza richieste e l'oggetto del procedimento penale estero, spet- tando comunque al giudice estero del merito valutare se dalla documentazione sequestrata emerge in concreto una connessione penalmente rilevante fra i fatti perseguiti in Italia e detta documentazione. Vi è quindi da concludere che la decisione impugnata non viola il principio della proporzionalità.</w:t>
      </w:r>
    </w:p>
    <w:p>
      <w:r>
        <w:rPr>
          <w:b/>
        </w:rPr>
        <w:t>E. 4</w:t>
      </w:r>
    </w:p>
    <w:p>
      <w:r>
        <w:t>In definitiva, la decisione impugnata va integralmente confermata ed il gravame respinto.</w:t>
      </w:r>
    </w:p>
    <w:p>
      <w:r>
        <w:rPr>
          <w:b/>
        </w:rPr>
        <w:t>E. 5</w:t>
      </w:r>
    </w:p>
    <w:p>
      <w:r>
        <w:t>Le spese seguono la soccombenza (v. art. 63 cpv. 1 PA richiamato l’art. 39 cpv. 2 lett. b LOAP). La tassa di giustizia è calcolata giusta gli art. 73 cpv. 2 LOAP, 63 cpv. 4bis PA, nonché 5 e 8 cpv. 3 del regolamento del 31agosto 2010 sulle spese, gli emolumenti, le ripetibili e le indennità della procedura penale federale (RSPPF; RS 173.713.162). Essa è posta a carico delle ricorrenti in solido, fis- sata nella fattispecie complessivamente a fr. 5'000.-- e considerata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