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RR.2015.201 vom 31. August 2015</w:t>
      </w:r>
    </w:p>
    <w:p>
      <w:r>
        <w:t>Bundesstrafgericht, 2015-08-31, IT</w:t>
      </w:r>
    </w:p>
    <w:p>
      <w:r>
        <w:rPr>
          <w:b/>
        </w:rPr>
        <w:t xml:space="preserve">Quelle: </w:t>
      </w:r>
      <w:r>
        <w:t>https://mcp.opencaselaw.ch/entscheid/bstger_RR.2015.201</w:t>
      </w:r>
    </w:p>
    <w:p>
      <w:r>
        <w:t>FR: TPF RR.2015.201 du 31 août 2015</w:t>
      </w:r>
    </w:p>
    <w:p>
      <w:r>
        <w:t>IT: TPF RR.2015.201 del 31 agosto 2015</w:t>
      </w:r>
    </w:p>
    <w:p>
      <w:pPr>
        <w:pStyle w:val="Heading2"/>
      </w:pPr>
      <w:r>
        <w:t>Regeste</w:t>
      </w:r>
    </w:p>
    <w:p>
      <w:r>
        <w:t>Estradizione alla Turchia. Oneri subordinati ad accettazioni (art. 80p AIMP). Gratuito patrocinio (art. 65 PA).</w:t>
      </w:r>
    </w:p>
    <w:p>
      <w:pPr>
        <w:pStyle w:val="Heading2"/>
      </w:pPr>
      <w:r>
        <w:t>Erwägungen</w:t>
      </w:r>
    </w:p>
    <w:p>
      <w:r>
        <w:rPr>
          <w:b/>
        </w:rPr>
        <w:t>E. 1.1</w:t>
      </w:r>
    </w:p>
    <w:p>
      <w:r>
        <w:t>L'estradizione fra la Turchia e la Confederazione Svizzera è anzitutto retta dalla Convenzione europea d'estradizione del 13 dicembre 1957 (CEEstr; RS 0.353.1), entrata in vigore il 20 marzo 1967 per il nostro Paese ed il 18 aprile 1960 per la Turchia, e dal relativo Secondo Protocollo addizionale del 17 marzo 1978, entrato in vigore il 9 giugno 1985 per la Svizzera e l'8 ot- tobre 1992 per la Turchia (RS 0.353.12).</w:t>
      </w:r>
    </w:p>
    <w:p>
      <w:r>
        <w:rPr>
          <w:b/>
        </w:rPr>
        <w:t>E. 1.2</w:t>
      </w:r>
    </w:p>
    <w:p>
      <w:r>
        <w:t>Alle questioni che il prevalente diritto internazionale contenuto in detto trat- tato e nel relativo protocollo non regola espressamente o implicitamente, come pure quando il diritto nazionale sia più favorevole all'estradizione ri- spetto a quello convenzionale, si applica la legge federale sull'assistenza giudiziaria internazionale in materia penale (AIMP; RS 351.1), unitamente alla relativa ordinanza (OAIMP; RS 351.11; v. art. 1 cpv. 1 AIMP; DTF 137 IV 33 consid. 2.2.2; 130 II 337 consid. 1; 128 II 355 consid. 1; 124 II 180 consid. 1a; 123 II 134 consid. 1a; 122 II 140 consid. 2, 373 consid. 1a). È fatto salvo il rispetto dei diritti fondamentali (DTF 135 IV 212 consid. 2.3; 123 II 595 consid. 7c; TPF 2008 24, consid. 1.1).</w:t>
      </w:r>
    </w:p>
    <w:p>
      <w:r>
        <w:rPr>
          <w:b/>
        </w:rPr>
        <w:t>E. 1.3</w:t>
      </w:r>
    </w:p>
    <w:p>
      <w:r>
        <w:t>Giusta l'art. 37 cpv. 2 lett. a della legge federale sull'organizzazione delle autorità penali della Confederazione (LOAP; RS 173.71), in relazione con gli art. 25 cpv. 1 e 80p cpv. 4 AIMP, la Corte dei reclami penali del Tribunale penale federale è competente per trattare i ricorsi avverso le decisioni dell'UFG che constatano se la risposta dello Stato richiedente soddisfa gli oneri richiesti. Inoltre, il ricorrente è legittimato a ricorrere (art. 80h lett. b AIMP) ed il termine di ricorso di 10 giorni per per l'impugnazione è stato ri- spettato (art. 80p cpv. 4 AIMP).</w:t>
      </w:r>
    </w:p>
    <w:p>
      <w:r>
        <w:rPr>
          <w:b/>
        </w:rPr>
        <w:t>E. 2</w:t>
      </w:r>
    </w:p>
    <w:p>
      <w:r>
        <w:t>La Corte dei reclami penali del Tribunale penale federale non è vincolata dalle conclusioni delle parti (art. 25 cpv. 6 AIMP). Essa verifica di massima le condizioni dell'estradizione con pieno potere di cognizione, occupandosi tuttavia solo di questioni di fatto e di diritto che costituiscono l'oggetto del ricorso (v. DTF 132 II 81 consid. 1.4; 130 II 337 consid. 1.4; sentenza del</w:t>
      </w:r>
    </w:p>
    <w:p>
      <w:r>
        <w:t>Tribunale penale federale RH.2012.17 del 28 dicembre 2012, consid. 3 e riferimenti citati).</w:t>
      </w:r>
    </w:p>
    <w:p>
      <w:r>
        <w:rPr>
          <w:b/>
        </w:rPr>
        <w:t>E. 3</w:t>
      </w:r>
    </w:p>
    <w:p>
      <w:r>
        <w:t>A mente del ricorrente, le traduzioni delle garanzie prodotte non sembrereb- bero certificate ufficialmente conformi, come invece prescritto dalla norma- tiva legale.</w:t>
      </w:r>
    </w:p>
    <w:p>
      <w:r>
        <w:rPr>
          <w:b/>
        </w:rPr>
        <w:t>E. 3.1</w:t>
      </w:r>
    </w:p>
    <w:p>
      <w:r>
        <w:t>Giusta l'art. 3 n. 1 del Secondo protocollo addizionale alla Convenzione eu- ropea di estradizione, quando una Parte Contraente chiede a un'altra Parte Contraente l'estradizione di una persona allo scopo di eseguire una pena o una misura di sicurezza pronunciata nei suoi confronti con sentenza contu- maciale, la Parte richiesta può rifiutare l'estradizione a tale scopo se, a suo parere, la procedura giudiziale non ha rispettato i diritti minimi della difesa riconosciuti a ogni persona accusata di un reato. L'estradizione sarà nondi- meno concessa se la Parte richiedente offre garanzie ritenute sufficienti per assicurare all'estradando il diritto a un nuovo processo che salvaguardi i di- ritti della difesa. Questa decisione autorizza la Parte richiedente, sia a ese- guire la sentenza in questione se il condannato non si oppone, sia, se questi si oppone a perseguire l'estradato.</w:t>
      </w:r>
    </w:p>
    <w:p>
      <w:r>
        <w:rPr>
          <w:b/>
        </w:rPr>
        <w:t>E. 3.2</w:t>
      </w:r>
    </w:p>
    <w:p>
      <w:r>
        <w:t>Qualora lo Stato richiesto subordini la concessione dell'assistenza giudiziaria alla formulazione di garanzie diplomatiche, egli fissa allo Stato richiedente un termine adeguato perché quest'ultimo presti le stesse (art. 80p cpv. 2 AIMP). Una volta ricevute le garanzie, l'UFG esamina se la risposta costitui- sce un impegno sufficiente rispetto alle condizioni fissate tenendo conto di tutte le circostanze del caso e dello scopo perseguito delle stesse (v. sen- tenza del Tribunale federale 1A.29/1998 del 6 aprile 1998). La legge non prevede espressamente che la persona toccata abbia il diritto di essere sen- tita prima che l'UFG statuisca in applicazione dell'art. 80p AIMP. Nonostante ciò, la giurisprudenza ritiene che debba essere lo stesso UFG ad invitare le parti a determinarsi sulle garanzie diplomatiche fornite prima di prendere la propria decisione in merito (v. DTF 124 II 132 consid. 2b). L'obbligo di celerità consacrato dall'art. 17a AIMP non può infatti avere quale conseguenza di sopprimere o limitare il diritto di essere sentito della persona toccata, soprat- tutto in una fase così delicata della procedura (v. DTF 124 II 132 consid. 2c). Un'omissione da parte dell'UFG non implica tuttavia l'ammissione automa- tica di un eventuale ricorso. In effetti, il vizio può essere sanato nell'ambito della stessa procedura ricorsuale, disponendo l'autorità adita con l'impugna- tiva dello stesso potere di cognizione dell'UFG (v. DTF 118 Ib 269 consid. 3a pag. 275/276; 117 Ib 64 consid. 4 p. 87).</w:t>
      </w:r>
    </w:p>
    <w:p>
      <w:r>
        <w:rPr>
          <w:b/>
        </w:rPr>
        <w:t>E. 3.3</w:t>
      </w:r>
    </w:p>
    <w:p>
      <w:r>
        <w:t>In base all'art. 23 CEEstr gli atti da produrre saranno redatti nella lingua della Parte richiedente o della Parte richiesta. Questa potrà esigere la traduzione</w:t>
      </w:r>
    </w:p>
    <w:p>
      <w:r>
        <w:t>in una lingua ufficiale del Consiglio d'Europa da essa scelta. Tale regola è concretizzata dall'art. 28 cpv. 5 AIMP e dalla riserva apportata dalla Svizzera all'art. 23 CEEstr. In regola generale, la Svizzera in qualità di Stato richiesto esige quindi che le domande estere e i documenti a sostegno siano presen- tati in lingua tedesca, francese o italiana o con una traduzione in una di que- ste lingue (v. MARC ENGLER, Commentario Basilese, Basilea 2015, n. 4 e 6 ad art. 28 AIMP). Le traduzioni devono essere ufficialmente certificate con- formi da parte dello Stato richiedente (v. art. 28 cpv. 5 seconda frase AIMP e sentenza del Tribunale federale 1A.268/2005 del 17 novembre 2005, con- sid. 4.2). Tale esigenza si applica anche alle garanzie diplomatiche (v. sen- tenze del Tribunale penale federale RR.2014.283 del 26 gennaio 2015, con- sid. 5.6.2 e RR.2008.54 del 13 maggio 2008, consid. 4.3 e segg.).</w:t>
      </w:r>
    </w:p>
    <w:p>
      <w:r>
        <w:rPr>
          <w:b/>
        </w:rPr>
        <w:t>E. 3.4</w:t>
      </w:r>
    </w:p>
    <w:p>
      <w:r>
        <w:t>In concreto, gli atti contenuti nelle note diplomatiche dell'11 marzo 2015 e del 22 maggio 2015 trasmessi all'UFG dalle autorità diplomatiche turche, non contengono delle traduzioni ufficialmente certificate conformi all'originale da parte del traduttore, come ad esempio in act. 5.5 pag. 7-10, ma sono tuttavia entrambe provviste di timbro ufficiale. Secondo la giurisprudenza di questa Corte ciò è sufficiente a considerare adempiuto il requisito della certificazione ufficiale (v. sentenza RR.2008.54, consid. 4.3), tanto più che l'avvocato dell'estradando risulta conoscere la lingua turca (come traspare dalla sua iscrizione nel sito ufficiale della Federazione Svizzera degli Avvocati), per cui sarebbe stato facilmente in grado di indicare nel proprio ricorso quali punti della traduzione non sarebbero corretti, rispettivamente quali passaggi dell'originale non corrisponderebbero a quanto richiesto dalle autorità sviz- zere. Certo le criticità nella trattazione di questo dossier da parte dell'UFG (v. Fatti lett. P e R), non da ultimo l'avvio dell'esecuzione dell'estradizione con intervento urgente da parte di questo Tribunale, su opportuna segnala- zione del patrocinatore dell'estradando, per bloccare il rimpatrio dello stesso pendente litis (act. 7-9), sono state oggetto di particolare considerazione nel valutare la necessità o meno di pretendere in casu requisiti formali superiori rispetto a quelli richiesti nella precitata sentenza RR.2008.54. Ciò nondi- meno va rilevato come alle autorità turche in quanto tali non si possono rim- proverare errori di sorta nella trattazione di questo dossier, per cui, data l'i- nesistenza di censure relative al contenuto in senso stretto della traduzione, non vi è ragione di scostarsi dalla suddetta giurisprudenza. La censura va pertanto respinta.</w:t>
      </w:r>
    </w:p>
    <w:p>
      <w:r>
        <w:rPr>
          <w:b/>
        </w:rPr>
        <w:t>E. 4</w:t>
      </w:r>
    </w:p>
    <w:p>
      <w:r>
        <w:t>Secondariamente, il ricorrente sostiene che le garanzie fornite non potreb- bero in ogni caso essere considerate sufficienti, ritenuto lo statuto di prote- zione sussidiaria concessa dalle autorità italiane a A. Inoltre, i recenti fatti di cronaca insinuerebbero dubbi relativamente all'effettivo rispetto dei diritti</w:t>
      </w:r>
    </w:p>
    <w:p>
      <w:r>
        <w:t>umani in Turchia per si renderebbe necessario che la scrivente Corte inter- pelli il Dipartimento federale degli affari esteri chiedendo un rapporto sull'at- tuale situazione in Turchia dal profilo del rispetto dei diritti dell'uomo.</w:t>
      </w:r>
    </w:p>
    <w:p>
      <w:r>
        <w:t>Questi aspetti sono tutti stati oggetto di trattazione e decisione nell'ambito degli incarti RR.2015.50/ RR.2015.68/ RP.2015.14, sfociando nella sentenza di questa Corte del 2 luglio 2015, cresciuta in giudicato in seguito alla deci- sione di non entrata in materia del Tribunale federale del 22 luglio 2015 (1C_377/2015) ed alla quale si rinvia. Le relative censure sono pertanto irri- cevibili.</w:t>
      </w:r>
    </w:p>
    <w:p>
      <w:r>
        <w:rPr>
          <w:b/>
        </w:rPr>
        <w:t>E. 5</w:t>
      </w:r>
    </w:p>
    <w:p>
      <w:r>
        <w:t>Quale ulteriore aspetto, il patrocinatore del ricorrente, con scritto del 3 luglio 2015 (act. 2), ha chiesto a questa Corte di far tradurre lo scritto in turco pre- sentato il 26 giugno 2015 dal suo assistito, e di volerne prendere atto nell'am- bito della presente procedura.</w:t>
      </w:r>
    </w:p>
    <w:p>
      <w:r>
        <w:t>Ora, giusta l'art. 33a PA, se una parte presenta documenti non redatti in una lingua ufficiale, l'autorità ordina una traduzione se necessario. Nel caso og- getto del presente ricorso, considerato il fatto che il patrocinatore, nonostante conosca la lingua turca (v. già supra consid. 3.4), non ha in alcun modo spie- gato quale sarebbe l'utilità della presa in considerazione del contenuto dello scritto entro il circoscritto perimetro di esame della presente causa (v. supra consid. 3 e 4), la necessità della postulata traduzione non emerge in alcun modo. La relativa domanda va pertanto respinta.</w:t>
      </w:r>
    </w:p>
    <w:p>
      <w:r>
        <w:rPr>
          <w:b/>
        </w:rPr>
        <w:t>E. 6</w:t>
      </w:r>
    </w:p>
    <w:p>
      <w:r>
        <w:t>Da quanto sopra discende che il ricorso va respinto, nella misura della sua ammissibilità.</w:t>
      </w:r>
    </w:p>
    <w:p>
      <w:r>
        <w:rPr>
          <w:b/>
        </w:rPr>
        <w:t>E. 7</w:t>
      </w:r>
    </w:p>
    <w:p>
      <w:r>
        <w:t>Il ricorrente sollecita la concessione del beneficio dell'assistenza giudiziaria e del gratuito patrocinio nella persona dell'avv. Yasar Ravi. Il ricorrente di- chiara di essere ancora detenuto presso il carcere giudiziario "la Farera" e precisa che le difficolta in diritto della presente fattispecie impongono senz'al- tro la presenza di un legale a garanzia e tutela dei suoi interessi.</w:t>
      </w:r>
    </w:p>
    <w:p>
      <w:r>
        <w:rPr>
          <w:b/>
        </w:rPr>
        <w:t>E. 7.1</w:t>
      </w:r>
    </w:p>
    <w:p>
      <w:r>
        <w:t>La persona perseguita può designare un patrocinatore. Se vi prescinde o non è in grado di farlo e la tutela dei suoi interessi lo richiede, le è nominato un patrocinatore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 (art. 65 cpv. 1 della legge federale sulla procedura ammi- nistrativa [PA; RS 172.021], applicabile in virtù del rinvio previsto all'art. 39 cpv. 2 lett. b LOAP). Se è necessario per tutelare i diritti di tale parte, l'autorità</w:t>
      </w:r>
    </w:p>
    <w:p>
      <w:r>
        <w:t>di ricorso, il suo presidente o il giudice dell'istruzione le designa un avvocato (art. 65 cpv. 2 PA).</w:t>
      </w:r>
    </w:p>
    <w:p>
      <w:r>
        <w:rPr>
          <w:b/>
        </w:rPr>
        <w:t>E. 7.2</w:t>
      </w:r>
    </w:p>
    <w:p>
      <w:r>
        <w:t>Il ricorrente dichiara di essere studente, celibe, di non possedere né redditi, né averi (fatta eccezione per EUR 200.-- oggetto di sequestro), né debiti e di vivere presso i famigliari (RP.2015.14, act. 4.1). Si tratta di affermazioni compatibili con le informazioni presenti nel fascicolo processuale, di cui non vi è ragione di dubitare. L'indigenza del ricorrente è dunque data.</w:t>
      </w:r>
    </w:p>
    <w:p>
      <w:r>
        <w:rPr>
          <w:b/>
        </w:rPr>
        <w:t>E. 7.3</w:t>
      </w:r>
    </w:p>
    <w:p>
      <w:r>
        <w:t>Per quanto attiene alle conclusioni, esse vanno considerate prive di possibilità di successo allorquando i rischi di reiezione sono nettamente maggiori rispetto alle possibilità di accoglimento, sebbene non siano manifestamente infondate o abusive (sentenze del Tribunale penale federale RR.2007.176 dell'11 dicembre 2007, consid. 3; RR.2007.31 del 21 marzo 2007, consid. 3). Una parte non deve poter avviare una procedura che non sosterrebbe a sue spese, unicamente perché non le costa nulla (v. in proposito DTF 138 II 217 consid. 2.2.4). Nel caso di specie non può essere ritenuto che il ricorso fosse privo di possibilità di successo, in particolare per quanto riguarda la questione della certificazione ufficiale della traduzione. La domanda di assistenza giudiziaria va pertanto accolta, come pure la richiesta di nominare l'avv. Yasar Ravi quale difensore d'ufficio nell'ambito della presente procedura.</w:t>
      </w:r>
    </w:p>
    <w:p>
      <w:r>
        <w:rPr>
          <w:b/>
        </w:rPr>
        <w:t>E. 7.4</w:t>
      </w:r>
    </w:p>
    <w:p>
      <w:r>
        <w:t>L'art. 12 cpv. 1 RSPPF prevede che l'onorario è fissato secondo il tempo, comprovato e necessario, impiegato dall'avvocato per la causa in esame e necessario alla difesa della parte rappresentata. In assenza, come in casu, di una nota spese da parte del difensore, l'autorità adita fissa l'onorario secondo il suo libero apprezzamento (v. art. 12 cpv. 2 RSPPF). Tenuto conto della natura della causa e del presumibile dispendio temporale dell'avvocato nella presente procedura, un'indennità complessiva di fr. 600.-- (IVA inclusa) pare equa e ragionevole. La Cassa del Tribunale verserà direttamente tale retribuzione al difensore d'ufficio avv. Yasar Ravi, Lugano. Non appena cessi d'essere nel bisogno, il ricorrente dovrà rimborsare l'onorario e le spese d'avvocato alla Confederazione (art. 65 cpv. 4 PA).</w:t>
      </w:r>
    </w:p>
    <w:p>
      <w:r>
        <w:rPr>
          <w:b/>
        </w:rPr>
        <w:t>E. 7.5</w:t>
      </w:r>
    </w:p>
    <w:p>
      <w:r>
        <w:t>Di principio le spese seguono la soccombenza (v. art. 63 cpv. 1 PA). In casu il ricorrente è soccombente e sarebbe quindi tenuto al versamento delle spese processuali. Tuttavia, non disponendo dei mezzi necessari e non ap- parendo l'impugnativa priva di probabilità di successo, nella presente proce- dura non si prelevano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