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 vom 15. September 2015</w:t>
      </w:r>
    </w:p>
    <w:p>
      <w:r>
        <w:t>Bundesstrafgericht, 2015-09-15, FR</w:t>
      </w:r>
    </w:p>
    <w:p>
      <w:r>
        <w:rPr>
          <w:b/>
        </w:rPr>
        <w:t xml:space="preserve">Quelle: </w:t>
      </w:r>
      <w:r>
        <w:t>https://mcp.opencaselaw.ch/entscheid/bstger_RR.2015.19</w:t>
      </w:r>
    </w:p>
    <w:p>
      <w:r>
        <w:t>FR: TPF RR.2015.19 du 15 septembre 2015</w:t>
      </w:r>
    </w:p>
    <w:p>
      <w:r>
        <w:t>IT: TPF RR.2015.19 del 15 settembre 2015</w:t>
      </w:r>
    </w:p>
    <w:p>
      <w:pPr>
        <w:pStyle w:val="Heading2"/>
      </w:pPr>
      <w:r>
        <w:t>Regeste</w:t>
      </w:r>
    </w:p>
    <w:p>
      <w:r>
        <w:t>Entraide judiciaire internationale en matière pénale à la Fédération de Russie. Remise de moyens de preuve (art. 74 EIMP).</w:t>
      </w:r>
    </w:p>
    <w:p>
      <w:pPr>
        <w:pStyle w:val="Heading2"/>
      </w:pPr>
      <w:r>
        <w:t>Erwägungen</w:t>
      </w:r>
    </w:p>
    <w:p>
      <w:r>
        <w:rPr>
          <w:b/>
        </w:rPr>
        <w:t>E. 1.1</w:t>
      </w:r>
    </w:p>
    <w:p>
      <w:r>
        <w:t>L’entraide judiciaire entre la Confédération suisse et la Fédération de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w:t>
      </w:r>
    </w:p>
    <w:p>
      <w:r>
        <w:t>- 5 -</w:t>
      </w:r>
    </w:p>
    <w:p>
      <w:r>
        <w:t>requérant d’informations relatives à ce compte (v. ATF 137 IV 134 consid. 5.2.1 et 118 Ib 547 consid. 1d).</w:t>
      </w:r>
    </w:p>
    <w:p>
      <w:r>
        <w:rPr>
          <w:b/>
        </w:rPr>
        <w:t>E. 1.4.2</w:t>
      </w:r>
    </w:p>
    <w:p>
      <w:r>
        <w:t>En l'espèce, A. est titulaire du compte no 1 ouvert auprès de la banque E. à Genève. A. a ainsi la qualité pour recourir contre la transmission des informations relatives à son compte.</w:t>
      </w:r>
    </w:p>
    <w:p>
      <w:r>
        <w:rPr>
          <w:b/>
        </w:rPr>
        <w:t>E. 1.5</w:t>
      </w:r>
    </w:p>
    <w:p>
      <w:r>
        <w:t>Le recours est recevable et il y a lieu d'entrer en matière.</w:t>
      </w:r>
    </w:p>
    <w:p>
      <w:r>
        <w:rPr>
          <w:b/>
        </w:rPr>
        <w:t>E. 2</w:t>
      </w:r>
    </w:p>
    <w:p>
      <w:r>
        <w:t>S'agissant d'abord de l'avis "confidentiel" émanant de la DDIP (v. supra let. F), il ne sera aucunement pris en compte – sous quelque forme que ce soit – dans le cadre du présent arrêt. Il ne saurait en effet être retenu que l'OFJ a satisfait aux conditions fixées par la jurisprudence pour limiter valablement le droit d'être entendu d'une partie (v. arrêt du Tribunal pénal fédéral RR.2011.180+214 du 29 novembre 2011, consid. 2.1).</w:t>
      </w:r>
    </w:p>
    <w:p>
      <w:r>
        <w:rPr>
          <w:b/>
        </w:rPr>
        <w:t>E. 3</w:t>
      </w:r>
    </w:p>
    <w:p>
      <w:r>
        <w:t>Sous couvert d'un grief formel intitulé "[v]iolation du droit d'être entendu par l'absence de motivation de la décision" (act. 1, p. 8 ss), le recourant adresse en substance – et en définitive – les mêmes critiques que celles figurant sous chiffre 2.2. de son mémoire relatif aux soi-disant "[c]ontradiction et lacunes […] de l'état de fait" (act. 1, p. 10 ss). Lesdites critiques souffrent partant d'être traitées sous ce dernier angle uniquement, soit sous celui du contenu de la demande d'entraide, laquelle comporterait "des contradictions importantes s'agissant de la provenance des fonds" (act. 1, p. 11 in initio).</w:t>
      </w:r>
    </w:p>
    <w:p>
      <w:r>
        <w:rPr>
          <w:b/>
        </w:rPr>
        <w:t>E. 4.1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w:t>
      </w:r>
    </w:p>
    <w:p>
      <w:r>
        <w:t>- 6 -</w:t>
      </w:r>
    </w:p>
    <w:p>
      <w:r>
        <w:t>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4.2</w:t>
      </w:r>
    </w:p>
    <w:p>
      <w:r>
        <w:t>En l'espèce, la demande d'entraide russe a été présentée en lien avec une enquête portant sur des soupçons d'"actions illégales en cas de faillite", respectivement de "faillite délibérée" au sens des art. 195 et 196 de la loi russe no 161 du 19 décembre 2005. Les éléments livrés par l'autorité requérante permettent de retenir ce qui suit.</w:t>
      </w:r>
    </w:p>
    <w:p>
      <w:r>
        <w:t>Entre fin 2008 et fin 2009, la Banque centrale du pays Y. est venue en aide à la banque B., société russe en difficulté, en lui versant quelque RUB 48 milliards à titre d'aide gouvernementale. Dès fin 2009, des responsables et employés de la banque B. ont procédé à des opérations ayant conduit au transfert, notamment à l'étranger, de certains actifs de ladite banque. De ce fait, celle-ci n'a plus été en mesure de répondre aux exigences de solvabilité requises par le droit russe, ce qui a conduit à la faillite de l'établissement. Selon les éléments en mains des autorités russes, les transferts effectués par les responsables et employés susmentionnés l'ont été "aux fins</w:t>
      </w:r>
    </w:p>
    <w:p>
      <w:r>
        <w:t>- 7 -</w:t>
      </w:r>
    </w:p>
    <w:p>
      <w:r>
        <w:t>d'enrichissement individuel […] des personnes impliquées" (demande d'entraide, p. 2, § 4). Pour ce faire, le compte de la société H., dont il apparaît qu'il abritait une part importante de l'aide gouvernementale auprès de la banque B., aurait été débité d'un montant total de près de RUB 29 milliards, avant d'être ventilé en plusieurs tranches sur des comptes ouverts toujours auprès de la banque B. aux noms des sociétés I., J. ou encore K. Dans un deuxième temps, ces sociétés ont versé les sommes en question – reçues au titre de "payements dans le cadre de contrats d'investissements" – sur un compte bancaire dont la banque B. est titulaire auprès de la banque L. aux Etats-Unis, avant que l'argent ainsi transféré ne soit réexpédié sur le compte no 2 ouvert au nom de la société C. Ltd. auprès de la banque M. L'autorité requérante précise encore que C. Ltd est "sous contrôle de Mr. N., fils du bénéficiaire de la banque B." (demande d'entraide, p. 3, §1).</w:t>
      </w:r>
    </w:p>
    <w:p>
      <w:r>
        <w:rPr>
          <w:b/>
        </w:rPr>
        <w:t>E. 4.3</w:t>
      </w:r>
    </w:p>
    <w:p>
      <w:r>
        <w:t>Force est à ce stade de constater que le comportement reproché aux "responsables" et autres "employés" de la banque B. est décrit avec suffisamment de précision pour permettre au juge de l'entraide d'examiner, dans le respect des sources applicables au cas d'espèce, si les conditions à l'octroi de l'entraide sont réalisées. Le fait que la décision entreprise contienne une erreur dans la dénomination des établissements bancaires en cause, maladresse pouvant de prime abord prêter à confusion, est sans incidence sur le sort de la cause, dès lors que la demande d'entraide figurant au dossier est suffisamment claire pour qu'il puisse y être donné suite. De même, l'absence d'informations quant à l'identité des personnes visées par l'enquête en Russie ne constitue pas un obstacle à l'entraide, l'art. 14 ch. 1 let. c. CEEJ indiquant qu'une telle information doit être transmise "[d]ans la mesure du possible" (v. également ZIMMERMANN, La coopération judiciaire internationale en matière pénale, 4e éd., Berne 2014, no 293, p. 293 in initio et les références citées).</w:t>
      </w:r>
    </w:p>
    <w:p>
      <w:r>
        <w:t>Ainsi, sur la base des faits exposés ci-avant, le comportement reproché par les autorités russes aux "responsables" et autres "employés" de la banque B. réalise à première vue les conditions objectives de la gestion déloyale, étant rappelé que selon la jurisprudence, la condition de la double incrimination peut également être réalisée si les faits présentés à l’appui de la demande d’entraide correspondent, dans l’Etat requis, à une infraction pour laquelle la poursuite dans l’Etat requérant n’est pas ouverte (arrêt du Tribunal fédéral 1A.127/2003 du 31 juillet 2003, consid. 5, spéc. 5.2.1 et les références citées; ZIMMERMANN, op. cit., no 580). Le fait que, dans le cas d’espèce, les autorités russes fondent leurs poursuites sur les chefs mentionnés au considérant précédent n’empêche ainsi pas l’Etat requis d’examiner la condition de la double incrimination sous l’angle d’une</w:t>
      </w:r>
    </w:p>
    <w:p>
      <w:r>
        <w:t>- 8 -</w:t>
      </w:r>
    </w:p>
    <w:p>
      <w:r>
        <w:t>infraction autre que celles retenues dans le cadre de la procédure pénale à l'étranger.</w:t>
      </w:r>
    </w:p>
    <w:p>
      <w:r>
        <w:t>Se rend coupable de gestion déloyale, celui qui, tenu de gérer les intérêts pécuniaires d’autrui ou de veiller sur leur gestion en vertu d’un mandat officiel ou d’un acte juridique, aura, en violation de ses devoirs, porté atteinte à ces intérêts ou aura permis qu’ils soient lésés (art. 158 ch. 1 al. 1 CP).</w:t>
      </w:r>
    </w:p>
    <w:p>
      <w:r>
        <w:t>En l’espèce, sur la base des faits exposés dans la demande d’entraide, il est rendu suffisamment vraisemblable que les personnes sous enquête avaient le pouvoir de gérer les actifs de la société en question et qu’elles avaient le devoir de les administrer conformément aux intérêts financiers de celle-ci. Ainsi, et à supposer que les faits sous enquête se soient déroulés en Suisse, ils l'auraient été en violation de l'obligation de gestion des "responsables" poursuivis, au vu des malversations relatées plus haut (v. ZIMMERMANN, op. cit., no 610, p. 614 s.).</w:t>
      </w:r>
    </w:p>
    <w:p>
      <w:r>
        <w:t>Il s’ensuit que la condition de la double incrimination est remplie en l’espèce et que le contenu de la demande russe satisfait aux exigences de l’art. 14 CEEJ. Les griefs soulevés par le recourant à cet égard sont par conséquent infondés.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5.1</w:t>
      </w:r>
    </w:p>
    <w:p>
      <w:r>
        <w:t>Le recourant se plaint en dernier ressort du "[c]aractère politique de la procédure étrangère" (act. 1, p. 20 ss). A l'en croire, la procédure pénale actuellement diligentée en Russie présenterait "de fortes similitudes avec le cas Yukos" (act. 1, p. 21). Il invoque en d'autres termes l'art. 3 EIMP, et indirectement l'art. 2 EIMP. La question de savoir si le recourant est légitimé à se fonder sur ces dispositions dans le cadre du présent recours souffre de demeurer indécise pour les motifs qui suivent.</w:t>
      </w:r>
    </w:p>
    <w:p>
      <w:r>
        <w:rPr>
          <w:b/>
        </w:rPr>
        <w:t>E. 5.2.1</w:t>
      </w:r>
    </w:p>
    <w:p>
      <w:r>
        <w:t>Dans l'affaire Yukos – dont le contexte avait été qualifié de "tout à fait particulier" par le Tribunal fédéral (arrêt 1A.215/2005 précité, consid. 3.2), ce dernier avait admis que la procédure étrangère présentait un arrière-plan politique en se fondant notamment sur la résolution 1416 (2005) de</w:t>
      </w:r>
    </w:p>
    <w:p>
      <w:r>
        <w:t>- 9 -</w:t>
      </w:r>
    </w:p>
    <w:p>
      <w:r>
        <w:t>l'Assemblée parlementaire du Conseil de l'Europe, selon laquelle l'action de l'Etat russe ne se limitait pas à la simple poursuite de la justice pénale, mais incluait des éléments tels que l'affaiblissement d'un adversaire politique déclaré, l'intimidation d'autres personnes riches et la reprise du contrôle d'actifs économiques stratégiques (notamment arrêts du Tribunal fédéral 1A.15/2007 précité, consid. 2.2 et 2.3; 1A.215/2005 précité, consid. 3.3 et 3.4).</w:t>
      </w:r>
    </w:p>
    <w:p>
      <w:r>
        <w:t>Le père du recourant semble certes appartenir au cercle des oligarques déchus. Une documentation destinée à établir les dysfonctionnements – en particulier le caractère non-indépendant – de l'ordre judiciaire russe est versée au dossier. Le père du recourant ferait l'objet d'une notice rouge Interpol aux termes de laquelle il serait recherché par les autorités russes pour des infractions s'apparentant à des détournements de fonds. L'ensemble de ces considérations permettrait – sinon d'établir, à tout le moins – de rendre vraisemblable le véritable but poursuivi par l'autorité requérante, lequel serait de s'en prendre à la personne du recourant et celle de son père, ainsi qu'à leurs patrimoines, sous couvert de poursuite d'infractions de droit commun.</w:t>
      </w:r>
    </w:p>
    <w:p>
      <w:r>
        <w:rPr>
          <w:b/>
        </w:rPr>
        <w:t>E. 5.2.2</w:t>
      </w:r>
    </w:p>
    <w:p>
      <w:r>
        <w:t>Ces seuls éléments ne suffisent toutefois pas – à ce stade – à faire de la présente un "Yukos bis". Le contexte "tout à fait particulier" retenu par le Tribunal fédéral en son temps s'illustrait par des faits "d'une grande complexité", la demande d'entraide ayant dû être "complétée à une vingtaine de reprises", sans que l'exposé des faits livrés ne soit clair. Enfin, des soupçons d'ordre fiscal avaient fréquemment été évoqués (arrêt 1A.215/2005 précité, consid. 3.2). En l'espèce, il a été vu que les faits présentés par l'autorité requérante sont suffisamment clairs et cohérents pour permettre au juge de l'entraide de donner suite à la requête (v. supra consid. 4.3), sans même qu'un complément à la demande n'ait eu à être requis. Les infractions reprochées aux prévenus en Russie n'ont – toujours à ce stade – pas de connotation fiscale. Par ailleurs, l'ouverture d'une procédure pénale suisse du chef de blanchiment d'argent, connexe à la procédure d'entraide, contribue à témoigner du bien-fondé de la procédure russe.</w:t>
      </w:r>
    </w:p>
    <w:p>
      <w:r>
        <w:rPr>
          <w:b/>
        </w:rPr>
        <w:t>E. 5.3</w:t>
      </w:r>
    </w:p>
    <w:p>
      <w:r>
        <w:t>Sur ce vu, le grief tiré d’un prétendu caractère politique de la poursuite dans l'Etat requérant se révèle, lui aussi, mal fondé.</w:t>
      </w:r>
    </w:p>
    <w:p>
      <w:r>
        <w:rPr>
          <w:b/>
        </w:rPr>
        <w:t>E. 6</w:t>
      </w:r>
    </w:p>
    <w:p>
      <w:r>
        <w:t>Les considérants qui précèdent conduisent au rejet du recours.</w:t>
      </w:r>
    </w:p>
    <w:p>
      <w:r>
        <w:t>- 10 -</w:t>
      </w:r>
    </w:p>
    <w:p>
      <w:r>
        <w:rPr>
          <w:b/>
        </w:rPr>
        <w:t>E. 7</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