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RR.2015.186 vom 4. August 2015</w:t>
      </w:r>
    </w:p>
    <w:p>
      <w:r>
        <w:t>Bundesstrafgericht, 2015-08-04, IT</w:t>
      </w:r>
    </w:p>
    <w:p>
      <w:r>
        <w:rPr>
          <w:b/>
        </w:rPr>
        <w:t xml:space="preserve">Quelle: </w:t>
      </w:r>
      <w:r>
        <w:t>https://mcp.opencaselaw.ch/entscheid/bstger_RR.2015.186</w:t>
      </w:r>
    </w:p>
    <w:p>
      <w:r>
        <w:t>FR: TPF RR.2015.186 du 4 août 2015</w:t>
      </w:r>
    </w:p>
    <w:p>
      <w:r>
        <w:t>IT: TPF RR.2015.186 del 4 agosto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Interposto tempestivamente contro la sopraccitata decisione di chiusura dell’au- torità federale d’esecuzione, il ricorso è ricevibile sotto il profilo degli art. 25 cpv. 1, 80e cpv. 1 e 80k AIMP. I ricorrenti sono titolari delle relazioni bancarie oggetto della decisione impugnata e sono di conseguenza legittimati a ricorrere (v. art. 9a lett. a OAIMP nonché DTF 137 IV 134 consid. 5.2.1; 130 II 162 consid. 1.1; 128 II 211 consid. 2.3; TPF 2007 79 consid. 1.6 pag. 82). La documentazione essendo stata in parte acquisita presso la sede di A. SA, la legittimazione quanto alla stessa è parimenti pacifica.</w:t>
      </w:r>
    </w:p>
    <w:p>
      <w:r>
        <w:rPr>
          <w:b/>
        </w:rPr>
        <w:t>E. 2</w:t>
      </w:r>
    </w:p>
    <w:p>
      <w:r>
        <w:t>I ricorrenti si dolgono preliminarmente del fatto che la domanda di assistenza presenti una carenza quanto all'oggetto ed al motivo della stessa, risultando conseguentemente contraria all'art. 28 AIMP. A mente degli stessi, la domanda di assistenza non conterrebbe i dati precisi e completi della persona contro cui è diretto il procedimento penale (v. art. 28 cpv. 2 lett. d AIMP), in quanto le</w:t>
      </w:r>
    </w:p>
    <w:p>
      <w:r>
        <w:t>- 5 -</w:t>
      </w:r>
    </w:p>
    <w:p>
      <w:r>
        <w:t>autorità italiane non avrebbero comunicato al MP-TI ed allo stesso B. che que- st'ultimo sarebbe anch'egli indagato nell'ambito del procedimento penale aperto in Italia.</w:t>
      </w:r>
    </w:p>
    <w:p>
      <w:r>
        <w:rPr>
          <w:b/>
        </w:rPr>
        <w:t>E. 2.1</w:t>
      </w:r>
    </w:p>
    <w:p>
      <w:r>
        <w:t>Gli art. 14 CEAG, 27 n. 1 CRic e 28 AIMP esigono in sostanza che la domanda di assistenza indichi il suo oggetto, il motivo, la qualificazione giuridica dei reati ed i dati, il più possibile precisi e completi, della persona contro cui è diretto il procedimento penale, presentando altresì un breve esposto dei fatti essenziali, al fine di permettere allo Stato rogato di verificare che non sussistano condizioni ostative all'assistenza (DTF 129 II 97 consid. 3; 118 Ib 111 consid. 5b, 547 con- sid. 3a; 117 Ib 64 consid. 5c).</w:t>
      </w:r>
    </w:p>
    <w:p>
      <w:r>
        <w:rPr>
          <w:b/>
        </w:rPr>
        <w:t>E. 2.2</w:t>
      </w:r>
    </w:p>
    <w:p>
      <w:r>
        <w:t>Nel caso oggetto della presente impugnativa, la richiesta di assistenza del 27 febbraio 2013 ed i susseguenti complementi indicano con sufficiente preci- sione le persone contro cui è diretto il procedimento penale. Nella stessa sono inoltre presenti gli elementi richiesti dall'art. 10 cpv. 2 OAIMP, segnatamente il luogo, il momento e le modalità di commissione delle infrazioni così come le ipotesi di reato previste dall'ordinamento giuridico italiano. In particolare, in data 8 marzo 2013, Il MP-TI ha richiesto all'autorità rogante di specificare la posi- zione processuale delle singole persone menzionate (v. incarto MP-TI ROG.2013.50, doc. 4). L'autorità rogante ha quindi preso posizione per mezzo di una domanda di assistenza integrativa nella quale figuravano dettagliata- mente tutte le persone implicate a quel tempo nelle indagini ed i relativi titoli di reato ad esse contestati (v. incarto MP-TI ROG.2013.50, doc. 5). Ora, se è vero che negli atti trasmessi per via rogatoriale non vi sia formale menzione del fatto che B. rivesta la qualità di imputato nel procedimento estero va altresì tenuto conto del fatto che l'autorità rogante necessita delle informazioni richieste pro- prio per istruire le proprie indagini e non si può quindi pretendere, considerato lo stadio del procedimento di merito, ch'ella indichi già nella richiesta di assi- stenza tutte le persone che poi risulteranno implicate (v. ROBERT ZIMMERMANN, La coopération judiciaire internationale en matière pénale, 4a ed., Berna 2014, n. 293). In tal senso, appare opportuno rilevare come il coinvolgimento concreto del ricorrente nella fattispecie oggetto dell'inchiesta estera è inoltre facilmente deducibile dalla richiesta di assistenza integrativa trasmessa il 12 marzo 2015 dall'autorità richiedente (v. incarto MP-TI ROG.2013.50, class. atti istruttori, doc. 127). Alla luce di quanto precede e considerato il fatto che la ratio legis dei disposti menzionati in epigrafe non implica per lo Stato richiesto la facoltà di opporre delle esigenze irragionevoli all'esperimento della rogatoria, esigenze che peraltro non si imporrebbero nemmeno in caso di apertura di un'inchiesta in Svizzera, e che inoltre, nel caso in esame, B. ha potuto ampiamente motivare il proprio ricorso innanzi a questa Corte, la censura, infondata, non merita ac- coglimento.</w:t>
      </w:r>
    </w:p>
    <w:p>
      <w:r>
        <w:t>- 6 -</w:t>
      </w:r>
    </w:p>
    <w:p>
      <w:r>
        <w:rPr>
          <w:b/>
        </w:rPr>
        <w:t>E. 3</w:t>
      </w:r>
    </w:p>
    <w:p>
      <w:r>
        <w:t>Gli insorgenti sostengono inoltre che, sempre per le ragioni esposte nei consi- derandi precedenti, la decisione impugnata violerebbe il diritto di essere sentito.</w:t>
      </w:r>
    </w:p>
    <w:p>
      <w:r>
        <w:rPr>
          <w:b/>
        </w:rPr>
        <w:t>E. 3.1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consid. 2b e riferimenti citati). Nell’ambito dell’assistenza giudiziaria internazionale esso è concretizzato agli art. 29 e segg. della legge federale sulla procedura ammi- nistrativa del 20 dicembre 1968 [PA; RS 172.021] richiamato l’art. 12 cpv. 1 AIMP (ZIMMERMANN, op. cit., n. 472). Esso è di natura formale (DTF 126 I 19 consid. 2d/bb pag. 24; 125 I 113 consid. 3; MICHELE ALBERTINI, Der verfas- sungsmässige Anspruch auf rechtliches Gehör im Verwaltungsverfahren des modernen Staates, tesi di laurea, Berna 2000, pag. 449 con rinvii). L'autorità di esecuzione, dopo aver concesso al detentore della documentazione la possibi- lità di addurre i motivi che si opporrebbero alla trasmissione di determinati atti e la facoltà di partecipare alla necessaria cernita, ha l'obbligo di motivare accura- 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w:t>
      </w:r>
    </w:p>
    <w:p>
      <w:r>
        <w:rPr>
          <w:b/>
        </w:rPr>
        <w:t>E. 3.2</w:t>
      </w:r>
    </w:p>
    <w:p>
      <w:r>
        <w:t>Nella fattispecie, v'è da rilevare che i ricorrenti hanno avuto completo accesso agli atti che li riguardano, così come ampia facoltà di esprimersi durante tutta la procedura di esecuzione della commissione rogatoria dinanzi al MP-TI. B. è infatti stato inserito nel novero delle persone interessate sin dalla prima deci- sione di entrata in materia del 13 maggio 2013 (v. incarto MP-TI ROG.2013.50, class. atti procedurali, doc. 10) ed ha potuto conseguentemente esercitare il proprio diritto di essere sentito in conformità a quanto stabilito da dottrina e giu- risprudenza. Dal canto suo A. SA essendosi vista notificare l'ordine di perquisi- zione e di sequestro anch'esso datato 13 maggio 2013, ha parimenti potuto prendere tempestivamente conoscenza dell'incarto (v. incarto MP-TI ROG.2013.50, class. atti procedurali, doc. 13). Gli stessi hanno poi potuto con- sultare l'incarto e prendere posizione sulla richiesta di assistenza (v. incarto MP- TI ROG.2013.50, class. atti procedurali, segnatamente doc. 15, doc. 131, doc. 143, doc. 144, doc. 147, doc. 151, doc. 152). Ora, nonostante quanto precede, i ricorrenti invocano dapprima l'esistenza di presunte violazioni ad opera dell'au- torità penale italiana dovute alla mancata comunicazione della qualità di impu- tato di B. per poi concluderne che la decisione impugnata, questa volta emanata</w:t>
      </w:r>
    </w:p>
    <w:p>
      <w:r>
        <w:t>- 7 -</w:t>
      </w:r>
    </w:p>
    <w:p>
      <w:r>
        <w:t>dall'autorità svizzera, sia stata adottata in crassa inosservanza del diritto di es- sere sentito. Tale censura non merita tutela. Le eventuali violazioni constatabili nella procedura italiana di merito non hanno influsso sull'estensione delle ga- ranzie procedurali accordate dalle autorità svizzere di assistenza e come tali non possono essere invocate. Disponendo inoltre la scrivente autorità di pieno potere cognitivo in fatto e in diritto (TPF 2007 57) e avendo avuto i ricorrenti in questa sede ampia facoltà di esprimersi, un'eventuale violazione del predetto diritto sarebbe stata comunque sanata dalla presente procedura (v. DTF 124 II 132 consid. 2d; sentenze del Tribunale federale 1C_525/2008 e 1C_526/2008 del 28 novembre 2008, consid. 1.3 nonché 1A.54/2004 del 30 aprile 2004; TPF 2008 172 consid. 2.3; ZIMMERMANN, op. cit., n. 472). Ne discende che la cen- sura, infondata, deve essere respinta.</w:t>
      </w:r>
    </w:p>
    <w:p>
      <w:r>
        <w:rPr>
          <w:b/>
        </w:rPr>
        <w:t>E. 4</w:t>
      </w:r>
    </w:p>
    <w:p>
      <w:r>
        <w:t>Sempre secondo gli insorgenti, lo stesso fatto di non aver comunicato ad B. la sua qualità di imputato nel procedimento estero sarebbe contraria all'art. 2 AIMP. Tale vicissitudine costituirebbe quantomeno una grave deficienza del procedimento penale italiano ai sensi dell'art. 2 lett. d AIMP e avrebbe dovuto condurre alla reiezione della domanda di assistenza.</w:t>
      </w:r>
    </w:p>
    <w:p>
      <w:r>
        <w:rPr>
          <w:b/>
        </w:rPr>
        <w:t>E. 4.1</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 contrasto con norme riconosciute come appartenenti all'ordine pubblico inter- nazionale (DTF 123 II 161 consid. 6a; 122 II 140 consid. 5a).</w:t>
      </w:r>
    </w:p>
    <w:p>
      <w:r>
        <w:rPr>
          <w:b/>
        </w:rPr>
        <w:t>E. 4.2</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della garanzie procedurali vale per tutti gli aspetti legati ad un processo equo, segnatamente la parità delle armi, il diritto di essere sentito nonché la presunzione d'innocenza (v. sentenza del Tribunale federale 1A.54/1994 del 27 aprile 1994, consid. 2a; ZIMMERMANN, op. cit., pag. 684). Su tali punti, tuttavia, solo delle circostanze chiare e appurate costitui- scono motivo di rifiuto della cooperazione (v. ZIMMERMANN, ibidem e giurispru- denza citata). L'art. 2 lett. d è sussidiario rispetto alle lettere a, b e c (ZIMMERMANN, op. cit., n. 691). La giurisprudenza definisce la nozione di "gravi</w:t>
      </w:r>
    </w:p>
    <w:p>
      <w:r>
        <w:t>- 8 -</w:t>
      </w:r>
    </w:p>
    <w:p>
      <w:r>
        <w:t>deficienze" per ogni singolo caso, le quali devono tuttavia essere di natura irri- mediabile (LAURENT MOREILLON, Entraide internationale en matière pénale, Ba- silea 2004, n. 51 ad art. 2 AIMP e giurisprudenza ivi citata).</w:t>
      </w:r>
    </w:p>
    <w:p>
      <w:r>
        <w:rPr>
          <w:b/>
        </w:rPr>
        <w:t>E. 4.3</w:t>
      </w:r>
    </w:p>
    <w:p>
      <w:r>
        <w:t>In regola generale, perché sia ammessa una violazione dell'art. 2 AIMP nell'am- bito di una procedura atta all'ottenimento di documentazione bancaria è neces- sario che l'accusato si trovi sul territorio dello stato rogante (DTF 129 II 268 consid. 6.1; 125 II 356 consid. 8; 123 II 161 consid. 6) e che possa dimostrare di essere concretamente esposto al rischio di maltrattamenti o di violazioni dei diritti procedurali (DTF 129 II 268 consid. 6.1; 126 II 324 consid. 4). Al contrario, la censura è in principio irricevibile quando l'insorgente non si trova sul territorio dello stato richiedente a meno che lo stesso non renda verosimile che in caso di trasmissione della documentazione egli corra un rischio grave ed oggettivo per la propria persona (v. DTF 130 II 217 consid. 8.2, TPF 2010 56 consid. 6.2.2).</w:t>
      </w:r>
    </w:p>
    <w:p>
      <w:r>
        <w:rPr>
          <w:b/>
        </w:rPr>
        <w:t>E. 4.4</w:t>
      </w:r>
    </w:p>
    <w:p>
      <w:r>
        <w:t>Nel caso oggetto della presente impugnativa, B., solo insorgente legittimato ad avvalersi della censura (v. sentenza del Tribunale penale federale RR.2015.12, consid. 5.2), non essendo domiciliato nello Stato richiedente e non sostan- ziando in alcun modo quali sarebbero le violazioni ostative alla concessione dell'assistenza ed i gravi rischi ai quali egli si esporrebbe in caso di trasmissione della documentazione litigiosa, non può già per tali ragioni vedersi riconoscere tutela dalla scrivente Corte. La stessa rileva – in via abbondanziale e sempre riservando il fatto che non spetta al giudice svizzero dell'assistenza addentrarsi in questioni di diritto penale estero che esulano dalla sua competenza (v. A. DONATSCH/S. HEIMGARTNER/M. SIMONEK, Internationale Rechtshilfe, Zurigo/Ba- silea/Ginevra 2011, pag. 70) – come l'autorità estera abbia peraltro agito in con- formità alle proprie regole secondo le quali la qualità di imputato ed i diritti deri- vanti si assumono in genere solo a seguito della richiesta di rinvio a giudizio (v. art. 60 Codice di procedura penale italiano) non commettendo d'acchito alcuna violazione delle garanzie procedurali previste dal diritto internazionale o altre insufficienze indizio dell'esistenza di gravi deficienze, tanto più che in Italia vige una provata cultura di Stato di diritto. Palesemente infondata, la censura, per quanto ammissibile, non merita accoglimento.</w:t>
      </w:r>
    </w:p>
    <w:p>
      <w:r>
        <w:rPr>
          <w:b/>
        </w:rPr>
        <w:t>E. 5</w:t>
      </w:r>
    </w:p>
    <w:p>
      <w:r>
        <w:t>Alla luce di quanto precede, la decisione impugnata va integralmente confer- mata ed il gravame respinto, nella misura della sua ammissibilità.</w:t>
      </w:r>
    </w:p>
    <w:p>
      <w:r>
        <w:rPr>
          <w:b/>
        </w:rPr>
        <w:t>E. 6</w:t>
      </w:r>
    </w:p>
    <w:p>
      <w:r>
        <w:t>Le spese seguono la soccombenza (v. art. 63 cpv. 1 PA richiamato l’art. 39 cpv. 2 lett. b LOAP). La tassa di giustizia è calcolata giusta gli art. 73 cpv. 2 LOAP, 63 cpv. 4bis PA, nonché 5 e 8 cpv. 3 del regolamento del 31agosto 2010 sulle spese, gli emolumenti, le ripetibili e le indennità della procedura penale federale</w:t>
      </w:r>
    </w:p>
    <w:p>
      <w:r>
        <w:t>- 9 -</w:t>
      </w:r>
    </w:p>
    <w:p>
      <w:r>
        <w:t>(RSPPF; RS 173.713.162). Essa è posta a carico dei ricorrenti, fissata nella fattispecie complessivamente a fr. 6'000.-- e considerata coperta dagli anticipi delle spese già versati.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