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RR.2015.183 vom 25. September 2015</w:t>
      </w:r>
    </w:p>
    <w:p>
      <w:r>
        <w:t>Bundesstrafgericht, 2015-09-25, IT</w:t>
      </w:r>
    </w:p>
    <w:p>
      <w:r>
        <w:rPr>
          <w:b/>
        </w:rPr>
        <w:t xml:space="preserve">Quelle: </w:t>
      </w:r>
      <w:r>
        <w:t>https://mcp.opencaselaw.ch/entscheid/bstger_RR.2015.183</w:t>
      </w:r>
    </w:p>
    <w:p>
      <w:r>
        <w:t>FR: TPF RR.2015.183 du 25 septembre 2015</w:t>
      </w:r>
    </w:p>
    <w:p>
      <w:r>
        <w:t>IT: TPF RR.2015.183 del 25 settembre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w:t>
      </w:r>
    </w:p>
    <w:p>
      <w:r>
        <w:t>- 4 -</w:t>
      </w:r>
    </w:p>
    <w:p>
      <w:r>
        <w:t>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140 IV 123 consid. 2; 137 IV 33 consid. 2.2.2; 136 IV 82 consid. 3.1; 135 IV 212 consid. 2.3; 123 II 134 consid. 1a; 122 II 140 consid. 2). Il prin- cipio di favore vale anche nell'applicazione delle pertinenti norme di diritto inter- nazionale (v. art. 48 n. 2 CAS, 39 n. 3 CRic e art. I n. 2 Accordo italo-svizzero). È fatto salvo il rispetto dei diritti fondamentali (DTF 135 IV 212 consid. 2.3; 123 II 595 consid. 7c).</w:t>
      </w:r>
    </w:p>
    <w:p>
      <w:r>
        <w:rPr>
          <w:b/>
        </w:rPr>
        <w:t>E. 1.3</w:t>
      </w:r>
    </w:p>
    <w:p>
      <w:r>
        <w:t>Interposto tempestivamente contro la sopraccitata decisione di chiusura par- ziale dell’autorità federale d’esecuzione, il ricorso è ricevibile sotto il profilo degli art. 25 cpv. 1, 80e cpv. 1 e 80k AIMP. Nella misura in cui le perquisizioni ed i sequestri sono avvenuti nei loro uffici, le ricorrenti, detentrici della documenta- zione litigiosa, sono legittimate a ricorrere (v. art. 9a lett. b OAIMP; TPF 2007 79 consid. 1.6 pag. 82).</w:t>
      </w:r>
    </w:p>
    <w:p>
      <w:r>
        <w:rPr>
          <w:b/>
        </w:rPr>
        <w:t>E. 2</w:t>
      </w:r>
    </w:p>
    <w:p>
      <w:r>
        <w:t>Le ricorrenti invocano innanzitutto la violazione del loro diritto di essere sentite, nella misura in cui nella decisione impugnata non figurerebbero minimamente le censure da loro formulate in occasione della cernita della documentazione litigiosa, ciò che costituirebbe non solo una palese violazione dell'obbligo di mo- tivazione, ma anche un evidente e grave diniego di giustizia.</w:t>
      </w:r>
    </w:p>
    <w:p>
      <w:r>
        <w:rPr>
          <w:b/>
        </w:rPr>
        <w:t>E. 2.1</w:t>
      </w:r>
    </w:p>
    <w:p>
      <w:r>
        <w:t>Il diritto di essere sentito, ancorato all’art. 29 cpv. 2 Cost., viene concretizzato nell’ambito dell’assistenza giudiziaria internazionale agli art. 29 e segg. PA ri- chiamato l’art. 12 cpv. 1 AIMP (ROBERT ZIMMERMANN, La coopération judiciaire internationale en matière pénale, 4a ediz., Berna 2014, n. 472). Esso è di natura formale (DTF 126 I 19 consid. 2d/bb pag. 24; 125 I 113 consid. 3; MICHELE ALBERTINI, Der verfassungsmässige Anspruch auf rechtliches Gehör im Verwal- tungsverfahren des modernen Staates, tesi di laurea, Berna 2000, pag. 449 con rinvii). Una violazione di questo diritto fondamentale da parte dell’autorità d’ese- cuzione non comporta comunque automaticamente l’accoglimento del gravame</w:t>
      </w:r>
    </w:p>
    <w:p>
      <w:r>
        <w:t>- 5 -</w:t>
      </w:r>
    </w:p>
    <w:p>
      <w:r>
        <w:t>e l’annullamento della decisione impugnata.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 1C_525/2008 e 1C_526/2008 del 28 novembre 2008, consid. 1.3 nonché 1A.54/2004 del 30 aprile 2004; TPF 2008 172 consid. 2.3; ZIMMERMANN, op. cit., n. 472).</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121 I 54 consid. 2; 117 Ib 481 consid. 6b/bb, nonché più ampiamente MICHELE ALBERTINI, op. cit., pag. 400 e segg., con altri rinvii giurisprudenziali). L'autorità di esecuzione non è tenuta a discutere in ma- niera dettagliata tutti gli argomenti sollevati dalle parti, né a statuire separata- mente su ogni conclusione che le viene presentata. Essa può limitarsi all'esame delle questioni decisive per l'esito del litigio (DTF 134 I 83 consid. 4.1; 130 II 530 consid. 4.3; 126 I 97 consid. 2b e sentenze citate; sentenza del Tribunale federale 1B_380/2010 del 14 marzo 2011, consid. 3.2.1).</w:t>
      </w:r>
    </w:p>
    <w:p>
      <w:r>
        <w:rPr>
          <w:b/>
        </w:rPr>
        <w:t>E. 2.2</w:t>
      </w:r>
    </w:p>
    <w:p>
      <w:r>
        <w:t>In concreto, l'autorità di esecuzione ha così motivato la trasmissione all'autorità estera della documentazione litigiosa (v. act. 1.1 pag. 13 cifra 7.1):</w:t>
      </w:r>
    </w:p>
    <w:p>
      <w:r>
        <w:t>"Per i medesimi motivi [v. act. 1.1 pag. 13 cifra 7] deve essere consegnata all'Au- torità richiedente, per quanto non già trasmessa, tutta la documentazione carta- cea tutt'ora agli atti sequestrata presso le società A. SA e B. SA. Peraltro, la relazione oggettiva tra le due predette società e i fatti perseguiti all'estero risulta in modo chiaro dalle rogatorie in parola alle quali espressamente si rinvia (cfr. in specie AI 3, AI 5, AI 9, AI 42) e, di conseguenza, la documentazione tutt'ora in sequestro, acquisita presso la loro sede, è sicuramente di potenziale utilità a far progredire il procedimento penale estero, come peraltro ribadito dalla stessa Au- torità rogante con la più recente richiesta rogatoriale dell'11 marzo 2015 da cui risulta chiaramente che le ulteriori investigazioni poste in essere dagli inquirenti italiani hanno accertato come C. abbia affidato parte dei propri proventi illeciti dei reati di cui è accusato a società fiduciarie, anche al fine di schermarne la prove- nienza, tra cui per l'appunto le società elvetiche A. SA e B. SA, società quest'ul- tima che detiene partecipazioni nell'italiana I. S.p.A."</w:t>
      </w:r>
    </w:p>
    <w:p>
      <w:r>
        <w:t>Ora, alla luce di quanto precede occorre rilevare che, a torto la ricorrente la- menta una carenza di motivazione della decisione contestata, tanto più che essa è stata in grado di presentare, avverso tale decisione, un'impugnativa ben</w:t>
      </w:r>
    </w:p>
    <w:p>
      <w:r>
        <w:t>- 6 -</w:t>
      </w:r>
    </w:p>
    <w:p>
      <w:r>
        <w:t>articolata, mostrando di essere stata posta nelle condizioni per rendersi conto della portata del provvedimento impugnato, proprio come richiesto dalla giuri- sprudenza in materia (v. consid. 2.1). Considerando quanto esposto decisivo per la trasmissione all'estero della documentazione litigiosa, essa non ha rite- nuto necessario discutere nel dettaglio tutte le obiezioni sollevate dalle ricor- renti. In definitiva, le censure in questo ambito vanno respinte.</w:t>
      </w:r>
    </w:p>
    <w:p>
      <w:r>
        <w:rPr>
          <w:b/>
        </w:rPr>
        <w:t>E. 3</w:t>
      </w:r>
    </w:p>
    <w:p>
      <w:r>
        <w:t>Secondo le insorgenti, la decisione impugnata viola i principi della proporziona- lità e dell'utilità potenziale, nella misura in cui sarebbe stata ordinata la trasmis- sione all'autorità rogante di documentazione che sarebbe priva di legame con l'inchiesta estera e quindi d'interesse per la stessa. A parte quella concernente direttamente o indirettamente persone o fatti oggetto d'inchiesta, la trasmissione di documentazione riguardante terze persone estranee al procedimento o le- gata unicamente alla gestione amministrativa interna delle società non do- vrebbe essere autorizzata. In caso contrario, si favorirebbe una ricerca indiscri- minata di prove.</w:t>
      </w:r>
    </w:p>
    <w:p>
      <w:r>
        <w:rPr>
          <w:b/>
        </w:rPr>
        <w:t>E. 3.1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 siva, le informazioni richieste essendo del tutto inidonee a far progredire le in- dagini (DTF 122 II 134 consid. 7b; 121 II 241 consid. 3a). Inoltre, da consolidata prassi, quando le autorità estere chiedono informazioni nell'ambito di procedi- menti per reati patrimoniali esse necessitano di regola di tutti i documenti per sapere a quali persone o entità giuridiche sono coinvolte (DTF 129 II 462 consid. 5.5; 124 II 180 consid. 3c inedito; 121 II 241 consid. 3b e c; sentenze del Tribu- nale federale 1A.177/2006 del 10 dicembre 2007, consid. 5.5; 1A.227/2006 del 22 febbraio 2007, consid. 3.2; 1A.195/2005 del 1° settembre 2005 in fine; sull'u- tilità dei documenti d'apertura di un conto v. sentenza del Tribunale federale 1A.182/2006 del 9 agosto 2007, consid. 3.2; cfr. anche DTF 130 II 14 consid. 4.1). La natura stessa di dette inchieste rende verosimile la necessità di acqui- sire l'integralità della documentazione, in modo tale da chiarire con sufficiente ampiezza diacronica l'origine e la destinazione dei flussi monetari sospetti. La trasmissione dell'intera documentazione potrà evitare altresì l'inoltro di eventuali</w:t>
      </w:r>
    </w:p>
    <w:p>
      <w:r>
        <w:t>- 7 -</w:t>
      </w:r>
    </w:p>
    <w:p>
      <w:r>
        <w:t>domande complementari (DTF 136 IV 82 consid. 4.1; 121 II 241 consid. 3; sen- tenza del Tribunale federale 1C_486/2008 dell'11 novembre 2008, consid. 2.4; sentenza del Tribunale penale federale RR.2011.113 del 28 luglio 2011, consid. 4.2). In base alla giurisprudenza l'esame va limitato alla cosiddetta utilità poten- 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indiscriminata di mezzi di prova volta a fondare un sospetto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divieto si fonda semplicemente sul fatto che è inammissibile procedere a casaccio nella raccolta delle prove (DTF 113 I 257 consid. 5c), il che non sarebbe nemmeno conciliabile con le stesse funzioni di base dell'assistenza internazionale in ma- teria penale (v. DONATSCH/HEIMGARTNER/MEYER/SIMONEK, Internationale Rech- tshilfe, 2a ediz., Zurigo/Basilea/Ginevra 2015, pag. 93 e seg.).</w:t>
      </w:r>
    </w:p>
    <w:p>
      <w:r>
        <w:rPr>
          <w:b/>
        </w:rPr>
        <w:t>E. 3.2</w:t>
      </w:r>
    </w:p>
    <w:p>
      <w:r>
        <w:t>In concreto, l'autorità rogante considera C. al centro delle presunte attività ille- cite oggetto dell'indagine estera (v. supra lett. A). Come rettamente rilevato dall'autorità di esecuzione, con la più recente richiesta rogatoriale dell'11 marzo 2015 l'autorità italiana ha dichiarato che "le investigazioni svolte – e ancora in essere – hanno permesso di constatare come C. abbia affidato parte dei propri proventi illeciti a società fiduciarie, anche al fine di schermarne la reale prove- nienza; tra queste figurano le società elvetiche A. S.A. e B. S.A. Quest'ultima, in particolare, risulta detenere partecipazioni nell'italiana I. S.p.A. È fondamen- tale per le indagini conoscere chi sia il beneficiario finale delle partecipazioni sopracitate al fine di riscontrare se dette partecipazioni si riferiscono ad una posizione accesa presso B. S.A. da C. o da persone a lui riconducibili" (v. act. 127 pag. 5). L'autorità rogante ha pure segnalato alcuni nominativi emersi nell'ambito delle investigazioni risultati, a suo dire, soggetti chiave nella gestione del patrimonio di C. in B. S.A., ossia J., K. e L. Essa ha aggiunto che "in parti- colare dalle acquisizioni svolte in Italia presso M., dalle banche dati delle forze di polizia, dalle dichiarazioni rese da C. innanzi a Codesta Autorità e da quelle rese da N. (sia di fronte a Codesta Autorità che alla scrivente Procura) è emerso il ruolo di J. quale socio di N. nella B. S.A. e nella A. S.A. Analogamente è a dirsi in ordine al ruolo di K. e della sua stretta collaboratrice L., come confermato dagli esiti di ulteriori rogatorie svolte, in particolare in Lussemburgo" (v. act. 127 pag. 5 e seg.). Visto quanto precede, la documentazione sequestrata presso le società ricorrenti presenta senz'altro un'utilità potenziale per l'inchiesta estera. Sospettando che le predette siano state utilizzate per nascondere i valori patri-</w:t>
      </w:r>
    </w:p>
    <w:p>
      <w:r>
        <w:t>- 8 -</w:t>
      </w:r>
    </w:p>
    <w:p>
      <w:r>
        <w:t>moniali di presunta provenienza illecita, occorre poter analizzare tutta la docu- mentazione rinvenuta presso i loro uffici, per ricostruire i flussi di denaro e per verificare l'eventuale ruolo di prestanome di terze persone apparentemente non coinvolte nella vicenda delittuosa.</w:t>
      </w:r>
    </w:p>
    <w:p>
      <w:r>
        <w:t>Quanto precede permette quindi di confermare la sufficiente relazione tra le mi- sure d'assistenza richieste e l'oggetto del procedimento penale estero, spet- tando comunque al giudice estero del merito valutare se dalla documentazione sequestrata emerge in concreto una connessione penalmente rilevante fra i fatti perseguiti in Italia e detta documentazione. Vi è quindi da concludere che la domanda di assistenza estera non viola il principio della proporzionalità e non costituisce un'inammissibile "fishing expedition".</w:t>
      </w:r>
    </w:p>
    <w:p>
      <w:r>
        <w:rPr>
          <w:b/>
        </w:rPr>
        <w:t>E. 4</w:t>
      </w:r>
    </w:p>
    <w:p>
      <w:r>
        <w:t>In definitiva, la decisione impugnata va integralmente confermata ed il gravame respinto.</w:t>
      </w:r>
    </w:p>
    <w:p>
      <w:r>
        <w:rPr>
          <w:b/>
        </w:rPr>
        <w:t>E. 5</w:t>
      </w:r>
    </w:p>
    <w:p>
      <w:r>
        <w:t>Le spese seguono la soccombenza (v. art. 63 cpv. 1 PA richiamato l’art. 39 cpv. 2 lett. b LOAP). La tassa di giustizia è calcolata giusta gli art. 73 cpv. 2 LOAP, 63 cpv. 4bis PA, nonché 5 e 8 cpv. 3 del regolamento del 31agosto 2010 sulle spese, gli emolumenti, le ripetibili e le indennità della procedura penale federale (RSPPF; RS 173.713.162). Essa è posta a carico delle ricorrenti in solido, fis- sata nella fattispecie complessivamente a fr. 6'000.-- e considerata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