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RR.2015.182 vom 11. November 2015</w:t>
      </w:r>
    </w:p>
    <w:p>
      <w:r>
        <w:t>Bundesstrafgericht, 2015-11-11, FR</w:t>
      </w:r>
    </w:p>
    <w:p>
      <w:r>
        <w:rPr>
          <w:b/>
        </w:rPr>
        <w:t xml:space="preserve">Quelle: </w:t>
      </w:r>
      <w:r>
        <w:t>https://mcp.opencaselaw.ch/entscheid/bstger_RR.2015.182</w:t>
      </w:r>
    </w:p>
    <w:p>
      <w:r>
        <w:t>FR: TPF RR.2015.182 du 11 novembre 2015</w:t>
      </w:r>
    </w:p>
    <w:p>
      <w:r>
        <w:t>IT: TPF RR.2015.182 del 11 novembre 2015</w:t>
      </w:r>
    </w:p>
    <w:p>
      <w:pPr>
        <w:pStyle w:val="Heading2"/>
      </w:pPr>
      <w:r>
        <w:t>Regeste</w:t>
      </w:r>
    </w:p>
    <w:p>
      <w:r>
        <w:t>Entraide judiciaire internationale en matière pénale à la Belgique. Remise de moyens de preuve (art. 74 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Belgique (v. arrêt du Tribunal pénal fédéral RR.2008.98 du 18 décembre 2008, consid. 1.3).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129 II 462 consid. 1.1; 124 II 180 consid. 1.3; arrêt du Tribunal pénal fédéral RR.2010.9 du 15 avril 2010, consid. 1.3; DANGUBIC/KESHELAVA, Basler Kommentar, Internationales Strafrecht, Bâle 2015, n° 1 ad art. 12).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w:t>
      </w:r>
    </w:p>
    <w:p>
      <w:r>
        <w:t>- 4 -</w:t>
      </w:r>
    </w:p>
    <w:p>
      <w:r>
        <w:t>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30 jours à compter de la notification de la décision de clôture,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Le Tribunal fédéral a jugé que lorsqu'une personne doit se soumettre personnellement à une perquisition ou à un séquestre, celle-ci n'a toutefois pas à démontrer un intérêt digne de protection en sus de l'atteinte directe qu'elle subit (ATF 137 IV 134 consid. 5.1.2 in: JdT 2012 IV 67; arrêt du Tribunal fédéral 1C_287/2008 du 12 janvier 2009, consid. 2.2). La pratique admet donc que la qualité pour recourir doit être conférée à toute personne physique ou morale contre laquelle une mesure de contrainte, telle qu'une perquisition ou un séquestre, est directement prononcée (ATF 137 IV 134 précité, consid. 5.2.2 et les références citées; TPF 2010 47 consid. 2.1; arrêt du Tribunal pénal fédéral RR.2011.192 du 12 octobre 2011). Ainsi, s'agissant de perquisitions ou de saisies effectuées auprès d'avocats ou de fiduciaires, seul l'avocat ou la fiduciaire ayant dû s'y soumettre personnellement est légitimé à recourir contre la transmission des renseignements requis, à l'exclusion des tiers indirectement concernés, soit notamment des mandants de l'avocat ou de ceux de la fiduciaire, ainsi que de l'auteur des documents saisis, même si la transmission entraîne la révélation de son identité (ATF 116 Ib 106 consid. 2a; 115 Ib 156 consid. 2a; arrêt du Tribunal fédéral 1A.293/2004 du 18 mars 2005, consid. 2.3). De même, seul le dépositaire et possesseur (détenteur) des documents commerciaux (et supports de données électroniques) séquestrés est légitimé à recourir et non leur déposant ou propriétaire de droit civil (ATF 137 IV 134 consid. 5.2.3, in: JdT 2012 IV 67 précité et les références citées). S'agissant des documents bancaires, le titulaire du compte concerné a certes qualité pour agir en vertu de l'art. 9a let. a OEIMP. Toutefois, lorsque ceux-ci sont saisis non pas en mains de la banque, mais d'un tiers tel qu'une fiduciaire ou un autre mandataire, seul ce dernier, directement touché par la mesure de saisie, a qualité pour agir sur la base de l'art. 9a let. b OEIMP (arrêts du Tribunal fédéral 1C_639/2013 du 22 août 2013, consid. 1.3.2; 1A.293/2004 du 18 mars 2005, consid. 2.3; arrêt du Tribunal pénal fédéral RR.2009.316 du 9 avril 2010, consid. 1.4).</w:t>
      </w:r>
    </w:p>
    <w:p>
      <w:r>
        <w:t>En tant que personne personnellement touchée par la mesure de séquestre, A. S.A. est légitimée à recourir contre la transmission de sa documentation</w:t>
      </w:r>
    </w:p>
    <w:p>
      <w:r>
        <w:t>- 5 -</w:t>
      </w:r>
    </w:p>
    <w:p>
      <w:r>
        <w:t>commerciale, ainsi que des documents bancaires, qu'elle a dû produire.</w:t>
      </w:r>
    </w:p>
    <w:p>
      <w:r>
        <w:rPr>
          <w:b/>
        </w:rPr>
        <w:t>E. 1.5</w:t>
      </w:r>
    </w:p>
    <w:p>
      <w:r>
        <w:t>Le recours étant recevable, il y a lieu d'entrer en matière.</w:t>
      </w:r>
    </w:p>
    <w:p>
      <w:r>
        <w:rPr>
          <w:b/>
        </w:rPr>
        <w:t>E. 2</w:t>
      </w:r>
    </w:p>
    <w:p>
      <w:r>
        <w:t>Sur le fond, la recourante s'en prend au contenu de la commission rogatoire, qu'elle considère comme gravement lacunaire. L'autorité requérante aurait omis de mentionner que le testament de C. attribuerait pleine propriété de la succession à B. Par cette omission, l'état de faits prendrait une connotation pénale (en l'absence de cet "élément capital du dossier […]. […] tous les actes de gestion ordinaires entrepris par Madame B. depuis la mort de feu son époux en lien avec les actifs successoraux deviennent évidemment hautement suspects"; act. 1, p. 13). Le litige serait de nature purement civile. Sans la mention du testament, l'examen de la condition de la double incrimination serait "faussé" (act. 1, p. 11 à 14).</w:t>
      </w:r>
    </w:p>
    <w:p>
      <w:r>
        <w:rPr>
          <w:b/>
        </w:rPr>
        <w:t>E. 2.1</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w:t>
      </w:r>
    </w:p>
    <w:p>
      <w:r>
        <w:rPr>
          <w:b/>
        </w:rPr>
        <w:t>E. 2.2</w:t>
      </w:r>
    </w:p>
    <w:p>
      <w:r>
        <w:t>En l'espèce, il ressort de la commission rogatoire du 15 janvier 2015 que, suite à la mort de C., survenue le 17 décembre 2007, B. aurait acquis, avec ses deux enfants adoptifs, une succession portant sur un patrimoine équivalant à plusieurs centaines de millions d'euros. En janvier 2008, B. aurait demandé à ses enfants de signer une convention lui conférant pleine compétence pour régler, liquider et répartir ladite succession. En novembre 2008, B. aurait constitué une fondation de famille et nommé elle-même et ses enfants administrateurs de celle-ci. Par la suite, B. aurait exclu ses enfants de cette position sans les informer. Depuis lors, B. refuserait de livrer toute information relative à la succession, de sorte qu'il lui est reproché de vouloir, à l'aide de spécialistes de droit successoral dont elle se serait</w:t>
      </w:r>
    </w:p>
    <w:p>
      <w:r>
        <w:t>- 6 -</w:t>
      </w:r>
    </w:p>
    <w:p>
      <w:r>
        <w:t>entourée, priver définitivement ses enfants de leur part d'héritage. L'autorité requérante la soupçonne d'occulter la succession par le biais de sociétés off- shore, détenant des comptes notamment en Suisse (act. 1.9). La commission rogatoire semble suggérer que B. aurait transféré à la fondation de famille la propriété des biens issus de la succession de C.</w:t>
      </w:r>
    </w:p>
    <w:p>
      <w:r>
        <w:rPr>
          <w:b/>
        </w:rPr>
        <w:t>E. 2.3</w:t>
      </w:r>
    </w:p>
    <w:p>
      <w:r>
        <w:t>Comme le reconnaît la recourante, la condition de la double incrimination s'examine au regard des faits mentionnés dans la commission rogatoire, sauf erreurs, lacunes ou contradictions évidentes et immédiatement établies. En l'occurrence, il n'y a pas lieu de s'écarter de l'exposé présenté par l'autorité requérante qui ne recèle aucune lacune évidente immédiatement établie. La question des implications du testament dont se prévaut la recourante est une question juridique complexe qui, en raison du caractère international de la succession, intéresse divers ordres juridiques. Le fait que l'autorité requérante n'ait pas mentionné le testament litigieux ne signifie pas encore qu'elle aurait ignoré cet acte. A cet égard, on précisera que la convention signée en janvier 2008 à laquelle se réfère l'autorité belge dans sa commission rogatoire renvoie expressément à ce testament (act. 1.6, ch. 4). Il est donc peu probable qu'il s'agisse d'un élément inconnu qui aurait des incidences sur le caractère pénal ou non du litige et qui ainsi, modifierait fondamentalement la situation. En réalité, si l'autorité belge s'est adressée à la Suisse, c'est parce que B. est soupçonnée d'avoir détourné la succession de son mari au détriment de ses enfants au travers d'une fondation, de trusts et de structures off-shore.</w:t>
      </w:r>
    </w:p>
    <w:p>
      <w:r>
        <w:t>Il apparaît bien plutôt que la recourante présente une argumentation à décharge qui n'a pas sa place en procédure d'entraide mais relève de la compétence des autorités de poursuite belges (ATF 132 II 81 consid. 2.1 et les arrêts cités; arrêt du Tribunal fédéral 1A.59/2000 du 10 mars 2000, consid. 2b; arrêts du Tribunal pénal fédéral RR.2011.81 du 21 juin 2011, consid. 3.3.2/c; RR.2007.183 du 21 février 2008, consid. 3; RR.2007.118 du 30 octobre 2007, consid. 5.1). C'est donc avec raison que le MP-GE s'en est tenu aux faits présentés par les autorités belges qui remplissent les éléments constitutifs de l'abus de confiance (art. 138 CP), voire de la gestion déloyale (art. 158 CP; cf. arrêt du Tribunal pénal fédéral RR.2015.129-131 + RR.2015.174 + RR.2015.217 + RR.2015.230 du 3 novembre 2015, consid. 4, à paraître sur le site du tribunal).</w:t>
      </w:r>
    </w:p>
    <w:p>
      <w:r>
        <w:t>Ce premier grief est donc infondé et doit être rejeté.</w:t>
      </w:r>
    </w:p>
    <w:p>
      <w:r>
        <w:rPr>
          <w:b/>
        </w:rPr>
        <w:t>E. 3</w:t>
      </w:r>
    </w:p>
    <w:p>
      <w:r>
        <w:t>La recourante se plaint également de la violation du principe de la proportionnalité. L'autorité requérante n'aurait pas demandé la transmission</w:t>
      </w:r>
    </w:p>
    <w:p>
      <w:r>
        <w:t>- 7 -</w:t>
      </w:r>
    </w:p>
    <w:p>
      <w:r>
        <w:t>de la documentation saisie par le MP-GE auprès de A. S.A.</w:t>
      </w:r>
    </w:p>
    <w:p>
      <w:r>
        <w:rPr>
          <w:b/>
        </w:rPr>
        <w:t>E. 3.1</w:t>
      </w:r>
    </w:p>
    <w:p>
      <w:r>
        <w:t>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et donc contraire au principe de la proportionnalité. Ce principe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poursuivis dans l'Etat requérant (arrêts du Tribunal pénal fédéral RR.2010.173 du 13 octobre 2010, consid. 4.2.4/a et RR.2009.320 du 2 février 2010, consid. 4.1; ZIMMERMANN, La coopération judiciaire internationale en matière pénale, 4e éd., Berne 2014, n° 723 s.).</w:t>
      </w:r>
    </w:p>
    <w:p>
      <w:r>
        <w:rPr>
          <w:b/>
        </w:rPr>
        <w:t>E. 3.2</w:t>
      </w:r>
    </w:p>
    <w:p>
      <w:r>
        <w:t>L'autorité requérante ne requiert pas expressément la documentation séquestrée auprès de A. S.A. Il ressort cependant clairement de la</w:t>
      </w:r>
    </w:p>
    <w:p>
      <w:r>
        <w:t>- 8 -</w:t>
      </w:r>
    </w:p>
    <w:p>
      <w:r>
        <w:t>commission rogatoire qu'elle veut être informée de tout compte lié à B. ou C., ainsi qu'aux mouvements de fonds qui y sont intervenus (act. 1.9, p. 5). Les documents séquestrés chez A. S.A. satisfont à ces critères; ils permettent d'avoir un aperçu des sociétés et comptes liés à B., ainsi que sur les mouvements de capital y opérés. Ces pièces permettront en outre à l'autorité requérante, d'une part, de vérifier ses propres allégations, et, d'autre part, le cas échéant, de découvrir d'autres transferts d'argent, ainsi que d'autres comptes bancaires jusqu'à présent inconnus ou d'autres personnes ou sociétés impliquées. Il en découle que l'autorité requérante a un intérêt manifeste à pouvoir les examiner. Le MP-GE a agi en respectant son devoir d'exhaustivité et conformément au principe de l'utilité potentielle. Ce principe impose à l'autorité suisse de fournir toutes les informations propres à servir l'enquête étrangère. La décision du MP-GE se justifie également sous l'angle de l'économie de la procédure; l'autorité requérante, semble à ce jour ignorer le lien entre B. et A. S.A. Il est toutefois fort probable qu'elle requerra des informations à son sujet, voir un séquestre de pièces auprès de A. S.A., dès qu'elle sera informée de son existence.</w:t>
      </w:r>
    </w:p>
    <w:p>
      <w:r>
        <w:t>Au vu de ce qui précède, le grief de violation du principe de la proportionnalité doit également être rejeté.</w:t>
      </w:r>
    </w:p>
    <w:p>
      <w:r>
        <w:rPr>
          <w:b/>
        </w:rPr>
        <w:t>E. 4</w:t>
      </w:r>
    </w:p>
    <w:p>
      <w:r>
        <w:t>Le recours doit être rejeté.</w:t>
      </w:r>
    </w:p>
    <w:p>
      <w:r>
        <w:rPr>
          <w:b/>
        </w:rPr>
        <w:t>E. 5</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5'000.-- (art. 73 al. 2 LOAP et art. 8 al. 3 du règlement du Tribunal pénal fédéral sur les frais, émoluments, dépens, et indemnités de la procédure pénale fédérale du 31 août 2010 [RFPPF; RS 173.713.162] et art. 63 al. 5 PA). La recourante ayant versé un montant de CHF 5'000.-- à titre d'avance de frais (act. 4), l'émolument du présent recours est entièrement couvert par celle-ci.</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