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RR.2015.177 vom 29. Oktober 2015</w:t>
      </w:r>
    </w:p>
    <w:p>
      <w:r>
        <w:t>Bundesstrafgericht, 2015-10-29, IT</w:t>
      </w:r>
    </w:p>
    <w:p>
      <w:r>
        <w:rPr>
          <w:b/>
        </w:rPr>
        <w:t xml:space="preserve">Quelle: </w:t>
      </w:r>
      <w:r>
        <w:t>https://mcp.opencaselaw.ch/entscheid/bstger_RR.2015.177</w:t>
      </w:r>
    </w:p>
    <w:p>
      <w:r>
        <w:t>FR: TPF RR.2015.177 du 29 octobre 2015</w:t>
      </w:r>
    </w:p>
    <w:p>
      <w:r>
        <w:t>IT: TPF RR.2015.177 del 29 ottobre 2015</w:t>
      </w:r>
    </w:p>
    <w:p>
      <w:pPr>
        <w:pStyle w:val="Heading2"/>
      </w:pPr>
      <w:r>
        <w:t>Regeste</w:t>
      </w:r>
    </w:p>
    <w:p>
      <w:r>
        <w:t>Assistenza giudiziaria internazionale in materia penale all'Italia. Sequestro (art. 33a OAIMP).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giudica i gravami in materia di assi- 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 zione" edito dalla Cancelleria federale, Berna 2014). Di rilievo nella fattispecie è anche la Convenzione sul riciclaggio, la ricerca, il sequestro e la confisca dei proventi di reato, conclusa a Strasburgo l’8 novembre 1990, entrata in vigore il</w:t>
      </w:r>
    </w:p>
    <w:p>
      <w:r>
        <w:t>- 4 -</w:t>
      </w:r>
    </w:p>
    <w:p>
      <w:r>
        <w:t>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 svizzero; DTF 140 IV 123 consid. 2; 137 IV 33 consid. 2.2.2; 136 IV 82 consid. 3.1; 135 IV 212 consid. 2.3; 123 II 134 consid. 1a; 122 II 140 consid. 2). Il prin- cipio di favore vale anche nell'applicazione delle pertinenti norme di diritto inter- nazionale (v. art. 48 n. 2 CAS, 39 n. 3 CRic e art. I n. 2 Accordo italo-svizzero). È fatto salvo il rispetto dei diritti fondamentali (DTF 135 IV 212 consid. 2.3; 123 II 595 consid. 7c).</w:t>
      </w:r>
    </w:p>
    <w:p>
      <w:r>
        <w:rPr>
          <w:b/>
        </w:rPr>
        <w:t>E. 1.3</w:t>
      </w:r>
    </w:p>
    <w:p>
      <w:r>
        <w:t>Il ricorso è stato interposto contro la decisione del MPC del 18 maggio 2015, erroneamente denominata "decisione di chiusura" (v. su questa problematica TPF 2007 124 consid. 2.1-2.2), che ha confermato il sequestro dei valori depo- sitati sui conti di cui sopra (v. lett. B). In quanto titolari delle relazioni n. 4 presso banca E. SA, Zurigo, e n. 2 presso la banca G. SA, Ginevra, oggetto delle criti- cate misure d'assistenza, A. risp. B. Ltd. sono legittimati a ricorrere. La qualità per ricorrere fa per contro difetto per quanto riguarda gli altri due conti seque- strati (v. art. 80h lett. b AIMP e art. 9a OAIMP; DTF 118 Ib 547 consid. 1d; TPF 2007 79 consid. 1.6 pag. 82). La decisione qui impugnata, seppur di natura in- cidentale, va proceduralmente trattata come una decisione di chiusura (v. TPF 2007 124 consid. 2.3; sentenza del Tribunale penale federale RR.2012.215-218 dell'8 aprile 2013, consid. 1.3). Ne consegue che, da una parte, l'ammissibilità del gravame non è subordinata all'esistenza di un pregiudizio immediato ed ir- reparabile ai sensi dell'art. 80e cpv. 2 AIMP e, dall'altra, il termine per ricorrere non è quello previsto per le decisioni incidentali (art. 80k AIMP). Interposto nel termine di trenta giorni previsto per le normali decisioni di chiusura, il ricorso è formalmente ammissibile.</w:t>
      </w:r>
    </w:p>
    <w:p>
      <w:r>
        <w:rPr>
          <w:b/>
        </w:rPr>
        <w:t>E. 2</w:t>
      </w:r>
    </w:p>
    <w:p>
      <w:r>
        <w:t>I ricorrenti censurano innanzitutto la violazione del loro diritto di essere sentiti, nella misura in cui il MPC, con la decisione litigiosa, si sarebbe limitato a rile- vare, in maniera generica, la complessità del procedimento estero a giustifica- zione dei sequestri pronunciati, senza confrontarsi con le argomentazioni da loro addotte.</w:t>
      </w:r>
    </w:p>
    <w:p>
      <w:r>
        <w:rPr>
          <w:b/>
        </w:rPr>
        <w:t>E. 2.1</w:t>
      </w:r>
    </w:p>
    <w:p>
      <w:r>
        <w:t>Il diritto di essere sentito, ancorato all’art. 29 cpv. 2 Cost., viene concretizzato nell’ambito dell’assistenza giudiziaria internazionale agli art. 29 e segg. PA ri- chiamato l’art. 12 cpv. 1 AIMP (ROBERT ZIMMERMANN, La coopération judiciaire internationale en matière pénale, 4a ediz., Berna 2014, n. 472). Esso è di natura formale (DTF 126 I 19 consid. 2d/bb pag. 24; 125 I 113 consid. 3; MICHELE</w:t>
      </w:r>
    </w:p>
    <w:p>
      <w:r>
        <w:t>- 5 -</w:t>
      </w:r>
    </w:p>
    <w:p>
      <w:r>
        <w:t>ALBERTINI, Der verfassungsmässige Anspruch auf rechtliches Gehör im Verwal- tungsverfahren des modernen Staates, tesi di laurea, Berna 2000, pag. 449 con rinvii). Una violazione di questo diritto fondamentale da parte dell’autorità d’ese- cuzione non comporta comunque automaticamente l’accoglimento del gravame e l’annullamento della decisione impugnata. Secondo la giurisprudenza e la dot- trina una violazione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d’esecu- zione stessa (v. DTF 124 II 132 consid. 2d; sentenze del Tribunale federale 1C_525/2008 e 1C_526/2008 del 28 novembre 2008, consid. 1.3 nonché 1A.54/2004 del 30 aprile 2004; TPF 2008 172 consid. 2.3; ZIMMERMANN, op. cit., n. 472).</w:t>
      </w:r>
    </w:p>
    <w:p>
      <w:r>
        <w:t>L'obbligo di motivazione, derivante dal diritto di essere sentito, prevede che l'au- torità debba menzionare, almeno brevemente, i motivi che l'hanno indotta a de- cidere in un senso piuttosto che nell'altro e di porre pertanto l'interessato nelle condizioni di rendersi conto della portata del provvedimento e delle eventuali possibilità di impugnazione presso un'istanza superiore, che deve poter eserci- tare il controllo sullo stesso (v. DTF 136 I 229 consid. 5.5; 121 I 54 consid. 2; 117 Ib 481 consid. 6b/bb, nonché più ampiamente ALBERTINI, op. cit., pag. 400 e segg., con altri rinvii giurisprudenziali). L'autorità di esecuzione non è tenuta a discutere in maniera dettagliata tutti gli argomenti sollevati dalle parti, né a statuire separatamente su ogni conclusione che le viene presentata. Essa può limitarsi all'esame delle questioni decisive per l'esito del litigio (DTF 134 I 83 consid. 4.1; 130 II 530 consid. 4.3; 126 I 97 consid. 2b e sentenze citate; sen- tenza del Tribunale federale 1B_380/2010 del 14 marzo 2011, consid. 3.2.1).</w:t>
      </w:r>
    </w:p>
    <w:p>
      <w:r>
        <w:rPr>
          <w:b/>
        </w:rPr>
        <w:t>E. 2.2</w:t>
      </w:r>
    </w:p>
    <w:p>
      <w:r>
        <w:t>In concreto, il MPC, seppur in maniera sintetica, ha sufficientemente spiegato i motivi che lo hanno portato ad emanare la decisione impugnata e a confermare i sequestri, rinviando nel contempo sia al decreto di sequestro del 23 gennaio 2014 emanato dal Tribunale di Roma, Sezione per l'applicazione delle misure di prevenzione, nel quale viene evidenziata la pericolosità sociale di A., indivi- duato come il capo e l'organizzatore di una associazione criminale finalizzata alla commissione di delitti di truffa aggravata, appropriazione indebita aggra- vata, bancarotta, delitti tributari, riciclaggio e reimpiego (v. act. 8.5 pag. 1 e segg.), sia allo scritto dell'autorità rogante dell'8 aprile 2015, mediante il quale la stessa, su richiesta del MPC circa l'attualità dei sequestri, precisa che "è in corso il processo di primo grado per delitti di associazione a delinquere, banca- rotta fraudolenta, appropriazione indebita, truffa in danno dello Stato e riciclag- gio. Il danno patrimoniale derivante dai reati contestati ammonta a oltre 100 milioni di euro. […] Confermo, pertanto, la richiesta di questo Ufficio di mante- nere il sequestro sulle relazioni bancarie indicate nella richiamata nota dell'8</w:t>
      </w:r>
    </w:p>
    <w:p>
      <w:r>
        <w:t>- 6 -</w:t>
      </w:r>
    </w:p>
    <w:p>
      <w:r>
        <w:t>aprile, riservandomi di comunicare ogni utile notizia in merito allo sviluppo dei procedimenti in corso" (v. act. 8.6).</w:t>
      </w:r>
    </w:p>
    <w:p>
      <w:r>
        <w:t>Ora, alla luce di quanto precede occorre rilevare che, a torto i ricorrenti lamen- tano una carenza di motivazione della decisione contestata, tanto più che essi sono stati in grado di presentare, avverso tale decisione, un'impugnativa ben articolata, mostrando di essere stati posti nelle condizioni per rendersi conto della portata dei provvedimenti impugnati, proprio come richiesto dalla giuri- sprudenza in materia (v. consid. 2.1). Considerando quanto esposto decisivo e sufficiente per il mantenimento del sequestro, essa non ha ritenuto necessario discutere nel dettaglio tutte le obiezioni sollevate dai ricorrenti. Si tratta di un modo di procedere conforme alla predetta giurisprudenza, motivo per cui le cen- sure in questo ambito vanno respinte.</w:t>
      </w:r>
    </w:p>
    <w:p>
      <w:r>
        <w:rPr>
          <w:b/>
        </w:rPr>
        <w:t>E. 3.1</w:t>
      </w:r>
    </w:p>
    <w:p>
      <w:r>
        <w:t>I ricorrenti sostengono che la domanda di assistenza, nella misura in cui fondata su un procedimento di prevenzione patrimoniale nei confronti di A., sarebbe da respingere in quanto del tutto svincolato dall'accertamento di qualsivoglia ipo- tesi di reato. Essi contestano in sostanza la natura penale di tale istituto.</w:t>
      </w:r>
    </w:p>
    <w:p>
      <w:r>
        <w:rPr>
          <w:b/>
        </w:rPr>
        <w:t>E. 3.2</w:t>
      </w:r>
    </w:p>
    <w:p>
      <w:r>
        <w:t>Questa Corte ha già avuto modo di esaminare la natura e le caratteristiche della procedura di prevenzione patrimoniale italiana, confermandone la sua validità quale fondamento di una rogatoria tendente alla confisca di beni siti in Svizzera (v. TPF 2010 158 consid. 2). In sostanza, tale procedura presenta una similitu- dine sufficiente con le procedure di confisca previste o riconosciute dal diritto svizzero. Essa può quindi essere assimilata ad una "causa penale" ai sensi de- gli art. 1 cpv. 3 e 63 AIMP (TPF 2010 158 consid. 2.5; v. anche sentenza del Tribunale federale 1C_563/2010 del 22 dicembre 2010). Lo stesso vale anche dopo l'entrata in vigore delle nuove disposizioni in virtù del decreto legislativo</w:t>
      </w:r>
    </w:p>
    <w:p>
      <w:r>
        <w:rPr>
          <w:b/>
        </w:rPr>
        <w:t>E. 6</w:t>
      </w:r>
    </w:p>
    <w:p>
      <w:r>
        <w:t>Visto quanto precede, la decisione impugnata va integralmente confermata ed il gravame respinto, nella misura della sua ammissibilità.</w:t>
      </w:r>
    </w:p>
    <w:p>
      <w:r>
        <w:rPr>
          <w:b/>
        </w:rPr>
        <w:t>E. 7</w:t>
      </w:r>
    </w:p>
    <w:p>
      <w:r>
        <w:t>Le spese seguono la soccombenza (v. art. 63 cpv. 1 della legge federale sulla procedura amministrativa del 20 dicembre 1968 [PA; RS 172.021] richiamato l’art. 39 cpv. 2 lett. b LOAP). La tassa di giustizia è calcolata giusta gli art. 73</w:t>
      </w:r>
    </w:p>
    <w:p>
      <w:r>
        <w:t>- 10 -</w:t>
      </w:r>
    </w:p>
    <w:p>
      <w:r>
        <w:t>cpv. 2 LOAP, 63 cpv. 4bis lett. b PA, nonché 5 e 8 cpv. 3 lett. b del regolamento del 31 agosto 2010 sulle spese, gli emolumenti, le ripetibili e le indennità della procedura penale federale (RSPPF; RS 173.713.162), ed è fissata nella fatti- specie a complessivi fr. 10'000.-- a carico dei ricorrenti in solido; essa è coperta dall’anticipo delle spese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