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RR.2015.175 vom 1. Oktober 2015</w:t>
      </w:r>
    </w:p>
    <w:p>
      <w:r>
        <w:t>Bundesstrafgericht, 2015-10-01, FR</w:t>
      </w:r>
    </w:p>
    <w:p>
      <w:r>
        <w:rPr>
          <w:b/>
        </w:rPr>
        <w:t xml:space="preserve">Quelle: </w:t>
      </w:r>
      <w:r>
        <w:t>https://mcp.opencaselaw.ch/entscheid/bstger_RR.2015.175</w:t>
      </w:r>
    </w:p>
    <w:p>
      <w:r>
        <w:t>FR: TPF RR.2015.175 du 1 octobre 2015</w:t>
      </w:r>
    </w:p>
    <w:p>
      <w:r>
        <w:t>IT: TPF RR.2015.175 del 1 ottobre 2015</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entrée en vigueur pour la Suisse le 20 mars 1967 et pour la France le 21 août 1967, ainsi que par l'Accord bilatéral complétant cette Convention (RS 0.351.934.92), conclu le 28 octobre 1996 et entré en vigueur le 1er mai 2000. Les art. 48 ss de la Convention d'application de l'Accord de Schengen du 14 juin 1985 (CAAS; n° CELEX 42000A0922[02]; Journal officiel de l'Union européenne L 239 du 22 septembre 2000, p. 19-62) s'appliquent également à l'entraide pénale entre la Suisse et la France (cf. arrêt du Tribunal pénal fédéral RR.2008.98 du 18 décembre 2008, consid. 1.3). Peut également s'appliquer,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(cf. art. 1 al. 1 EIMP) et lorsqu'il est plus favorable à l'entraide (ATF 137 IV 33 consid. 2.2.2; 136 IV 82 consid. 3.1; 129 II 462 consid. 1.1; 124 II 180 consid. 1.3; arrêt du Tribunal pénal fédéral RR.2010.9 du 15 avril 2010, consid. 1.3). Le principe du droit le plus favorable à l'entraide s'applique aussi pour ce qui concerne le rapport entre elles des normes internationales pertinentes (cf. art. 48 par. 2 CAAS et 39 CBl). L'application de la norme la plus favorable doit avoir lieu dans le respect des droits fondamentaux (ATF 135 IV 212 consid. 2.3; 123 II 595 consid. 7c).</w:t>
      </w:r>
    </w:p>
    <w:p>
      <w:r>
        <w:t>- 4 -</w:t>
      </w:r>
    </w:p>
    <w:p>
      <w:r>
        <w:rPr>
          <w:b/>
        </w:rPr>
        <w:t>E. 1.2</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1.3</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une relation bancaire, le titulaire du compte dont les documents font l'objet de la décision de clôture. La recourante revêt en l'occurrence cette qualité.</w:t>
      </w:r>
    </w:p>
    <w:p>
      <w:r>
        <w:rPr>
          <w:b/>
        </w:rPr>
        <w:t>E. 1.4</w:t>
      </w:r>
    </w:p>
    <w:p>
      <w:r>
        <w:t>Lorsqu'une demande d'entraide vise, comme en l'espèce, la remise de la documentation relative à un compte détenu en Suisse par une société étrangère, la notification d'une décision de clôture à la banque est suffisante (art. 80m al. 1 let. b EIMP a contrario) et le délai de recours part dès que la société a une connaissance effective de la décision attaquée, pour autant que la décision de clôture n'ait pas encore été exécutée (ATF 136 IV 16 consid. 2.4). En l'occurrence, cette dernière condition est réalisée et la recourante affirme – ce dont il n'y a pas lieu de douter – avoir été informée le 27 mai 2015 de l'existence de la décision entreprise, soit à la réception d'un courrier adressé cinq jours auparavant par l'établissement bancaire en cause à D., à son domicile au Luxembourg (act. 1.1). C'est donc cette date qui constitue le dies a quo du délai pour recourir, de sorte que le recours, interjeté le 11 juin 2015, intervient dans le délai de 30 jours de l'art. 80k EIMP.</w:t>
      </w:r>
    </w:p>
    <w:p>
      <w:r>
        <w:rPr>
          <w:b/>
        </w:rPr>
        <w:t>E. 1.5</w:t>
      </w:r>
    </w:p>
    <w:p>
      <w:r>
        <w:t>Il y a donc lieu d'entrer en matière.</w:t>
      </w:r>
    </w:p>
    <w:p>
      <w:r>
        <w:rPr>
          <w:b/>
        </w:rPr>
        <w:t>E. 2.1</w:t>
      </w:r>
    </w:p>
    <w:p>
      <w:r>
        <w:t>La recourante se plaint tout d'abord d'une violation de son droit d'être entendue au sens de l'art. 29 al. 2 Cst., en lien avec l'art. 80l EIMP. Elle fait valoir en substance qu'elle ignorait, jusqu'au 27 mai 2015 (cf. supra consid. 1.4), l'existence même d'une procédure d'entraide. Partant, elle n'aurait ni pu s'exprimer avant que l'acte en question ne fût rendu, ni disposé d'un laps de temps suffisant pour consulter le dossier et faire valoir ses arguments devant la Cour de céans.</w:t>
      </w:r>
    </w:p>
    <w:p>
      <w:r>
        <w:t>- 5 -</w:t>
      </w:r>
    </w:p>
    <w:p>
      <w:r>
        <w:rPr>
          <w:b/>
        </w:rPr>
        <w:t>E. 2.2</w:t>
      </w:r>
    </w:p>
    <w:p>
      <w:r>
        <w:t>Représentée par un mandataire professionnel, la recourante a déposé son mémoire de recours devant le tribunal de céans le 11 juin 2015, soit bien avant l'échéance du délai utile pour ce faire, le dies a quo du délai de recours de 30 jours étant comme on vient de le voir le 27 mai 2015. Elle doit assumer les conséquences de ce choix et ne saurait obtenir un délai pour compléter l'écrit en question. En outre, il appartient à la banque, en tant que détenteur de documents visés par une demande d'entraide, d'informer son client domicilié à l'étranger de l'existence de celle-ci et de tous les faits en rapport avec elle, conformément à l'art. 80n EIMP (ZIMMERMANN, La coopération judiciaire internationale en matière pénale, 4e éd. Berne 2014, n° 319, p. 321 s. et les références citées). Si l'établissement bancaire ne s'exécute pas ou tarde à le faire, le titulaire du compte peut – comme en l'espèce – se trouver dans l'impossibilité de consulter le dossier et de s'exprimer avant qu'une décision ne soit rendue. Celui-ci ne saurait dans un tel cas se prévaloir d'une violation de son droit d'être entendu. Admettre le contraire reviendrait à priver de toute portée la disposition légale précitée.</w:t>
      </w:r>
    </w:p>
    <w:p>
      <w:r>
        <w:t>Le premier grief soulevé par la recourante est donc mal fondé.</w:t>
      </w:r>
    </w:p>
    <w:p>
      <w:r>
        <w:rPr>
          <w:b/>
        </w:rPr>
        <w:t>E. 3.1</w:t>
      </w:r>
    </w:p>
    <w:p>
      <w:r>
        <w:t>La recourante se plaint ensuite, implicitement, d'une violation de l'art. 28 EIMP, en lien avec les principes de double incrimination et de proportionnalité. L'autorité requérante n'aurait pas fourni la moindre explication quant au caractère pénal des circonstances ayant entouré le versement, le 31 juillet 2006, d'EUR 9 mios sur le compte litigieux par C. Ltd et serait bien en peine de le faire. L'enquête menée en France porterait en effet uniquement sur des faits relatifs à un autre virement bancaire, d'EUR 20.9 mios, survenu le 21 décembre 2007 et dans le cadre duquel ni elle-même ni D. n'aurait commis d'infractions.</w:t>
      </w:r>
    </w:p>
    <w:p>
      <w:r>
        <w:rPr>
          <w:b/>
        </w:rPr>
        <w:t>E. 3.2</w:t>
      </w:r>
    </w:p>
    <w:p>
      <w:r>
        <w:t>Selon l'art. 14 CEEJ, la demande d'entraide doit notamment indiquer son objet et son but (ch. 1 let. b), ainsi que l'inculpation et un exposé sommaire des faits (ch. 2). Ces indications doivent permettre à l'autorité requise de s'assurer que l'acte pour lequel l'entraide est demandée est punissable selon le droit des parties requérante et requise (art. 5 ch. 1 let. a CEEJ), qu'il ne constitue pas un délit politique ou fiscal (art. 2 ch. 1 let. a CEEJ), et que le principe de la proportionnalité est respecté (ATF 118 Ib 111 consid. 5b et les arrêts cités). Le droit interne (art. 28 EIMP) pose des exigences équivalentes, encore précisées par l'art. 10 al. 2 OEIMP selon lequel doivent en tout cas figurer le lieu, la date et le mode de commission de l'infraction (arrêt du</w:t>
      </w:r>
    </w:p>
    <w:p>
      <w:r>
        <w:t>- 6 -</w:t>
      </w:r>
    </w:p>
    <w:p>
      <w:r>
        <w:t>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 bre 2014, consid. 5.2).</w:t>
      </w:r>
    </w:p>
    <w:p>
      <w:r>
        <w:rPr>
          <w:b/>
        </w:rPr>
        <w:t>E. 3.3</w:t>
      </w:r>
    </w:p>
    <w:p>
      <w:r>
        <w:t>La remise de documents est une mesure de contrainte au sens de l'art. 63 al. 2 let. c EIMP, qui ne peut être ordonnée, selon l'art. 64 al. 1 EIMP, que si l'état de fait exposé dans la demande correspond, prima facie, aux éléments objectifs d'une infraction réprimée par le droit suisse. L'examen de la punissabilité selon le droit suisse comprend les éléments constitutifs objectifs de l'infraction, à l'exclusion des conditions particulières du droit suisse en matière de culpabilité et de répression (ATF 124 II 184 consid. 4b; 122 II 422 consid. 2a; 118 Ib 448 consid. 3a et les arrêts cités).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la jurisprudence citée). La réunion des éléments constitutifs d'une seule infraction suffisent pour l'octroi de la «petite» entraide (cf. ATF 125 II 569 consid. 6; arrêt du Tribunal fédéral 1C_138/2007 du 17 juillet 2007, consid. 2.3.2). Pour déterminer si la condition de la double incrimination est réalisée, le juge de l'entraide se fonde sur l'exposé des faits contenu dans la requête. L'autorité suisse saisie d'une requête n'a pas à se prononcer sur la réalité de ces faits (ATF 107 Ib 264 consid. 3a; 1A.270/2006 du 13 mars 2007, consid. 2.1; arrêt du Tribunal pénal fédéral RR.2008.69 du 14 août 2008, consid. 3).</w:t>
      </w:r>
    </w:p>
    <w:p>
      <w:r>
        <w:rPr>
          <w:b/>
        </w:rPr>
        <w:t>E. 3.4</w:t>
      </w:r>
    </w:p>
    <w:p>
      <w:r>
        <w:t>Selon la jurisprudence,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w:t>
      </w:r>
    </w:p>
    <w:p>
      <w:r>
        <w:t>- 7 -</w:t>
      </w:r>
    </w:p>
    <w:p>
      <w:r>
        <w:t>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I'État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723, p. 748 s.).</w:t>
      </w:r>
    </w:p>
    <w:p>
      <w:r>
        <w:rPr>
          <w:b/>
        </w:rPr>
        <w:t>E. 3.5</w:t>
      </w:r>
    </w:p>
    <w:p>
      <w:r>
        <w:t>Selon les renseignements fournis par les autorités françaises, celles-ci enquêtent sur le détournement par D., à des fins personnelles, d'EUR 13.4 mios sur les 20.9 mios que lui avait confiés B. le 21 décembre 2007 en vue de l'acquisition et de la viabilisation de bien-fonds sis en Corse. De tels faits peuvent prima facie être qualifiés en droit suisse d'abus de confiance, au sens de l'art. 138 CP. Par ailleurs, l'autorité requérante a précisé, dans son troisième complément du 3 mars 2015, que le versement le 31 juillet 2006 d'EUR 9 mios par C. Ltd sur le compte litigieux correspondait selon plusieurs témoins à un dessous-de-table convenu dans le cadre desdites opérations immobilières et que tout ou partie de cette somme pouvait avoir été détournée (dossier du MP-GE, classeur "Requête complémentaire du</w:t>
      </w:r>
    </w:p>
    <w:p>
      <w:r>
        <w:t>- 8 -</w:t>
      </w:r>
    </w:p>
    <w:p>
      <w:r>
        <w:t>02.03.2015", rubrique A). Force est ainsi de constater que la documentation bancaire sollicitée n'est pas manifestement sans rapport avec les faits investigués en France. Il s'ensuit que l'octroi de l'entraide est conforme aux principes de double incrimination et de proportionnalité, au regard des indications fournies par les autorités françaises, et que le contenu de la demande d'entraide répond aux exigences posées par les art. 14 CEEJ et 28 EIMP. La recourante échoue à démontrer que ladite demande serait entachée d'erreurs, lacunes ou contradictions évidentes justifiant qu'on s'écarte de la version des faits présentée dans ce document. Son assertion selon laquelle D.pouvait légitimement conserver EUR 7.5 des EUR 20.9 qui lui avaient été remis – outre qu'elle constitue un élément à décharge n'ayant pas sa place dans la procédure d'entraide – ne lui est d'aucun secours, dès lors que les autorités françaises soupçonnent, ainsi qu'on vient de le voir, un détournement portant sur EUR 13.4 mios, soit une somme bien plus élevée que la créance ainsi alléguée. A noter que l'existence de cette dernière au moment où a été effectuée la transaction litigieuse ne saurait quoi qu'en dise la recourante être établie sur la base de la convention passée, ultérieurement (les 13 et 14 juillet 2010; act. 1.19), entre D. et plusieurs sociétés, par laquelle ces dernières se sont engagées à abandonner sous conditions des procédures judiciaires ouvertes contre le prénommé, qui s'est obligé – en échange et contre une rémunération dépendant de la survenance d'un événement futur et incertain – à soutenir des procédures judiciaires menées par l'une de ses partenaires contractuelles contre un tiers.</w:t>
      </w:r>
    </w:p>
    <w:p>
      <w:r>
        <w:t>Il s'ensuit que la seconde série de griefs soulevée doit être rejetée.</w:t>
      </w:r>
    </w:p>
    <w:p>
      <w:r>
        <w:rPr>
          <w:b/>
        </w:rPr>
        <w:t>E. 4.1</w:t>
      </w:r>
    </w:p>
    <w:p>
      <w:r>
        <w:t>La recourante se plaint enfin d'une violation du principe «ne bis in idem». Elle invoque un courrier adressé le 11 octobre 2010 par le Ministère public du canton du Tessin (ci-après: le MP-TI) à son conseil, par lequel ladite autorité a classé une procédure pénale ouverte contre D. (act. 1.20).</w:t>
      </w:r>
    </w:p>
    <w:p>
      <w:r>
        <w:rPr>
          <w:b/>
        </w:rPr>
        <w:t>E. 4.2</w:t>
      </w:r>
    </w:p>
    <w:p>
      <w:r>
        <w:t>Le principe «ne bis in idem» signifie que nul ne peut être poursuivi ou puni à raison de faits pour lesquels il a déjà été acquitté ou condamné par un jugement définitif. En matière d'entraide, ledit principe est réglé à l'art. 66 EIMP lequel spécifie que l'entraide peut être refusée si la personne réside en Suisse et si l'infraction qui motive la demande y fait déjà l'objet d'une procédure pénale (al. 1). L'entraide peut toutefois être accordée si la procédure ouverte à l'étranger n'est pas dirigée uniquement contre la personne poursuivie résidant en Suisse ou si l'exécution de la demande est</w:t>
      </w:r>
    </w:p>
    <w:p>
      <w:r>
        <w:t>- 9 -</w:t>
      </w:r>
    </w:p>
    <w:p>
      <w:r>
        <w:t>de nature à la disculper (al. 2; arrêt du Tribunal pénal fédéral RR.2009.281/RP.2009.37 du 7 juillet 2010, consid. 3.2). Seule la personne potentiellement touchée par une possible violation du principe «ne bis in idem» a qualité pour soulever ce grief (cf. arrêt du Tribunal fédéral 1A.5/2007 du 25 janvier 2008, consid. 2.4 et 3.5; arrêt du Tribunal pénal fédéral RR.2012.120 du 14 mars 2013, consid. 4.2). Le même principe s'applique en relation à l'art. 54 CAAS (cf. à ce sujet ZIMMERMANN, op. cit., n° 664 p. 678), lequel prévoit qu'une personne qui a été définitivement jugée par une Partie Contractante ne peut, pour les même faits, être poursuivie par une autre Partie Contractante, à condition que, en cas de condamnation, la sanction ait été subie ou soit actuellement en cours d'exécution ou ne puisse plus être exécutée selon les lois de la Partie Contractante de condamnation.</w:t>
      </w:r>
    </w:p>
    <w:p>
      <w:r>
        <w:rPr>
          <w:b/>
        </w:rPr>
        <w:t>E. 4.3</w:t>
      </w:r>
    </w:p>
    <w:p>
      <w:r>
        <w:t>Il résulte du courrier du MP-TI précité, ainsi que de l'argumentation de la recourante (cf. supra consid. 3.5) que c'est D., et non cette dernière, qui serait en l'espèce touché par une éventuelle violation du principe «ne bis in idem». Dès lors, la recourante n'est pas habilitée à soulever ce grief. Partant, celui-ci est irrecevable.</w:t>
      </w:r>
    </w:p>
    <w:p>
      <w:r>
        <w:rPr>
          <w:b/>
        </w:rPr>
        <w:t>E. 5</w:t>
      </w:r>
    </w:p>
    <w:p>
      <w:r>
        <w:t>Il s'ensuit que le recours est mal fondé dans la mesure où il est recevable.</w:t>
      </w:r>
    </w:p>
    <w:p>
      <w:r>
        <w:rPr>
          <w:b/>
        </w:rPr>
        <w:t>E. 6</w:t>
      </w:r>
    </w:p>
    <w:p>
      <w:r>
        <w:t>Les frais de procédure, comprenant l’émolument d’arrêté, les émoluments de chancellerie et les débours, sont mis à la charge de la partie qui succombe (art. 63 al. 1 de la loi fédérale sur la procédure administrative [PA; RS 172.021], applicable par renvoi de l’art. 12 EIMP). Le montant de l’émolument est calculé en fonction de l’ampleur et de la difficulté de la cause, de la façon de procéder des parties, de leur situation financière et des frais de chancellerie (art. 73 al. 2 LOAP). Le recourant supportera ainsi les frais du présent arrêt, lesquels sont fixés à CHF 5'000.-- (art. 73 al. 2 LOAP, art. 8 al. 3 du règlement du Tribunal pénal fédéral sur les frais, émoluments, dépens, et indemnités de la procédure pénale fédérale [RFPPF; RS 173.713.162] et art. 63 al. 5 PA).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