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RR.2015.167 vom 18. November 2015</w:t>
      </w:r>
    </w:p>
    <w:p>
      <w:r>
        <w:t>Bundesstrafgericht, 2015-11-18, FR</w:t>
      </w:r>
    </w:p>
    <w:p>
      <w:r>
        <w:rPr>
          <w:b/>
        </w:rPr>
        <w:t xml:space="preserve">Quelle: </w:t>
      </w:r>
      <w:r>
        <w:t>https://mcp.opencaselaw.ch/entscheid/bstger_RR.2015.167</w:t>
      </w:r>
    </w:p>
    <w:p>
      <w:r>
        <w:t>FR: TPF RR.2015.167 du 18 novembre 2015</w:t>
      </w:r>
    </w:p>
    <w:p>
      <w:r>
        <w:t>IT: TPF RR.2015.167 del 18 novembre 2015</w:t>
      </w:r>
    </w:p>
    <w:p>
      <w:pPr>
        <w:pStyle w:val="Heading2"/>
      </w:pPr>
      <w:r>
        <w:t>Regeste</w:t>
      </w:r>
    </w:p>
    <w:p>
      <w:r>
        <w:t>Entraide judiciaire internationale en matière pénale à la République française. Surveillance de la correspondance par poste et télécommunication (art. 18a EIMP);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art. 39 CBl).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w:t>
      </w:r>
    </w:p>
    <w:p>
      <w:r>
        <w:t>- 6 -</w:t>
      </w:r>
    </w:p>
    <w:p>
      <w:r>
        <w:t>mis en relation avec l'art. 37 al. 2 let. a ch. 1 de la loi fédérale sur l'organisation des autorités pénales de la Confédération [LOAP; RS 173.71]). Elle l'est également pour connaître des recours contre des décisions rendues par le TMC en application de l'art. 18a EIMP (arrêt du Tribunal fédéral 1C_36/2015 du 19 janvier 2015).</w:t>
      </w:r>
    </w:p>
    <w:p>
      <w:r>
        <w:rPr>
          <w:b/>
        </w:rPr>
        <w:t>E. 3</w:t>
      </w:r>
    </w:p>
    <w:p>
      <w:r>
        <w:t>Le recours a été déposé dans le respect des délais légaux.</w:t>
      </w:r>
    </w:p>
    <w:p>
      <w:r>
        <w:rPr>
          <w:b/>
        </w:rPr>
        <w:t>E. 4.1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La personne visée par la procédure étrangère peut attaquer une décision aux mêmes conditions (art. 21 al. 3 EIMP; ATF 130 II 162 consid. 1.1). De jurisprudence constante toutefois, celui qui a ouvert un compte sous une fausse identité ne peut se voir reconnaître le droit de recourir contre la transmission de la documentation bancaire ou la remise des avoirs saisis. Est assimilé au cas de celui qui ouvre un compte en se prévalant d'une identité fausse celui qui fait de fausses déclarations relativement à l'ayant droit économique du compte. Une exception à cette règle serait tout au plus envisageable pour celui qui démontre qu'il est titulaire effectif du compte et explique, voire justifie, l'utilisation du faux nom (ZIMMERMANN, La coopération judiciaire internationale en matière pénale, 4e éd., Berne 2014, no 527). Le sens de cette jurisprudence est de parer aux situations dans lesquelles le détenteur de fonds ouvre un compte bancaire sous un faux nom afin d'en cacher la provenance délictueuse et de contourner ainsi les règles relatives à l'identification de l'ayant droit économique posées à l’art. 4 LBA (ATF 131 II 169 consid. 2.2.3; 129 II 268 consid. 2.3.3; TPF 2009 17).</w:t>
      </w:r>
    </w:p>
    <w:p>
      <w:r>
        <w:rPr>
          <w:b/>
        </w:rPr>
        <w:t>E. 4.2</w:t>
      </w:r>
    </w:p>
    <w:p>
      <w:r>
        <w:t>En l'occurrence, le numéro qui a été mis sous surveillance était un raccordement prépayé qui avait été enregistré sous le prête-nom de «M.». Il appert donc que ce n'est pas sous son identité réelle que le recourant s'est inscrit afin d'utiliser le raccordement en question. Il n'a fourni aucune indication expliquant, respectivement justifiant, cette façon de faire. Il y a ainsi tout lieu de conclure qu'il a agi dans ce sens afin de tromper sciemment les autorités pour semer la confusion quant à son identité réelle (ATF 131 II 169 consid. 2.2.2). Dès lors, par analogie à la jurisprudence rappelée ci- avant, à l'instar de celui qui ouvre un compte en se prévalant d'une fausse</w:t>
      </w:r>
    </w:p>
    <w:p>
      <w:r>
        <w:t>- 7 -</w:t>
      </w:r>
    </w:p>
    <w:p>
      <w:r>
        <w:t>identité, le recourant ne saurait bénéficier de protection juridique en l'espèce. Il n'est dès lors pas habilité à recourir. Son recours est ainsi irrecevable.</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frais du présent arrêt, mis à la charge du recourant, sont fixés à CHF 4'000.-- (art. 73 al. 2 LOAP et art. 8 al. 3 du règlement du Tribunal pénal fédéral sur les frais, émoluments, dépens et indemnités de la procédure pénale fédérale du 31 août 2010 [RFPPF; RS 173.713.162] et art. 63 al. 5 PA), réputés couverts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